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9E" w:rsidRPr="0077566E" w:rsidRDefault="0011599E" w:rsidP="008F1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116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A4D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1116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1C61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AB3A4D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D2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АНАЛІЗ РЕГУЛЯТОРНОГО ВПЛИВУ</w:t>
      </w:r>
    </w:p>
    <w:p w:rsidR="00AE38D0" w:rsidRPr="0077566E" w:rsidRDefault="00C36C28" w:rsidP="00C95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 w:rsidR="00C00396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</w:t>
      </w:r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кту </w:t>
      </w:r>
      <w:r w:rsidR="008F19D2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 виконавчого комітету </w:t>
      </w:r>
      <w:r w:rsidR="001F5480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Вінницької</w:t>
      </w:r>
      <w:r w:rsidR="001F5480" w:rsidRPr="0077566E">
        <w:rPr>
          <w:rFonts w:ascii="Times New Roman" w:hAnsi="Times New Roman" w:cs="Times New Roman"/>
          <w:b/>
          <w:sz w:val="28"/>
          <w:szCs w:val="28"/>
        </w:rPr>
        <w:t xml:space="preserve"> міської ради </w:t>
      </w:r>
    </w:p>
    <w:p w:rsidR="00AE38D0" w:rsidRPr="0077566E" w:rsidRDefault="001F5480" w:rsidP="00C95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66E">
        <w:rPr>
          <w:rFonts w:ascii="Times New Roman" w:hAnsi="Times New Roman" w:cs="Times New Roman"/>
          <w:b/>
          <w:sz w:val="28"/>
          <w:szCs w:val="28"/>
        </w:rPr>
        <w:t>«Про внесення змін до рішення виконавчого комітету м</w:t>
      </w:r>
      <w:r w:rsidR="009B3D7E" w:rsidRPr="0077566E">
        <w:rPr>
          <w:rFonts w:ascii="Times New Roman" w:hAnsi="Times New Roman" w:cs="Times New Roman"/>
          <w:b/>
          <w:sz w:val="28"/>
          <w:szCs w:val="28"/>
        </w:rPr>
        <w:t xml:space="preserve">іської ради </w:t>
      </w:r>
    </w:p>
    <w:p w:rsidR="00C956A2" w:rsidRPr="0077566E" w:rsidRDefault="009B3D7E" w:rsidP="00C9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6E">
        <w:rPr>
          <w:rFonts w:ascii="Times New Roman" w:hAnsi="Times New Roman" w:cs="Times New Roman"/>
          <w:b/>
          <w:sz w:val="28"/>
          <w:szCs w:val="28"/>
        </w:rPr>
        <w:t>від 31.0</w:t>
      </w:r>
      <w:r w:rsidR="003A0508" w:rsidRPr="0077566E">
        <w:rPr>
          <w:rFonts w:ascii="Times New Roman" w:hAnsi="Times New Roman" w:cs="Times New Roman"/>
          <w:b/>
          <w:sz w:val="28"/>
          <w:szCs w:val="28"/>
        </w:rPr>
        <w:t>1</w:t>
      </w:r>
      <w:r w:rsidRPr="0077566E">
        <w:rPr>
          <w:rFonts w:ascii="Times New Roman" w:hAnsi="Times New Roman" w:cs="Times New Roman"/>
          <w:b/>
          <w:sz w:val="28"/>
          <w:szCs w:val="28"/>
        </w:rPr>
        <w:t xml:space="preserve">.2012 №203 </w:t>
      </w:r>
      <w:r w:rsidR="001F5480" w:rsidRPr="0077566E">
        <w:rPr>
          <w:rFonts w:ascii="Times New Roman" w:hAnsi="Times New Roman" w:cs="Times New Roman"/>
          <w:b/>
          <w:sz w:val="28"/>
          <w:szCs w:val="28"/>
        </w:rPr>
        <w:t>(зі змінами)</w:t>
      </w:r>
      <w:r w:rsidR="00D346FD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F19D2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19D2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І. Визначення проблеми</w:t>
      </w:r>
      <w:bookmarkEnd w:id="0"/>
    </w:p>
    <w:p w:rsidR="008F19D2" w:rsidRPr="0077566E" w:rsidRDefault="008F19D2" w:rsidP="00A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3975" w:rsidRPr="0077566E" w:rsidRDefault="002C3975" w:rsidP="00CD2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7566E">
        <w:rPr>
          <w:rFonts w:ascii="Times New Roman" w:hAnsi="Times New Roman" w:cs="Times New Roman"/>
          <w:sz w:val="28"/>
        </w:rPr>
        <w:t xml:space="preserve">На даний час у </w:t>
      </w:r>
      <w:r w:rsidR="004A0F85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Вінницькій міській територіальній громаді</w:t>
      </w:r>
      <w:r w:rsidRPr="0077566E">
        <w:rPr>
          <w:rFonts w:ascii="Times New Roman" w:hAnsi="Times New Roman" w:cs="Times New Roman"/>
          <w:sz w:val="28"/>
        </w:rPr>
        <w:t xml:space="preserve"> </w:t>
      </w:r>
      <w:r w:rsidR="004A0F85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</w:t>
      </w:r>
      <w:r w:rsidR="00D86FAF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A0F85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ВМТГ) </w:t>
      </w:r>
      <w:r w:rsidRPr="0077566E">
        <w:rPr>
          <w:rFonts w:ascii="Times New Roman" w:hAnsi="Times New Roman" w:cs="Times New Roman"/>
          <w:sz w:val="28"/>
        </w:rPr>
        <w:t xml:space="preserve">функціонує мережа 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автобусних маршрутів загального користування в режимі маршрутного таксі</w:t>
      </w:r>
      <w:r w:rsidRPr="0077566E">
        <w:rPr>
          <w:rFonts w:ascii="Times New Roman" w:hAnsi="Times New Roman" w:cs="Times New Roman"/>
          <w:sz w:val="28"/>
        </w:rPr>
        <w:t xml:space="preserve">, затверджена 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виконавчого комітету міської ради від </w:t>
      </w:r>
      <w:r w:rsidR="006B1AD7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1AD7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B1AD7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B1AD7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435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мережі автобусних</w:t>
      </w:r>
      <w:r w:rsidRPr="0077566E">
        <w:rPr>
          <w:rFonts w:ascii="Times New Roman" w:hAnsi="Times New Roman" w:cs="Times New Roman"/>
          <w:sz w:val="28"/>
        </w:rPr>
        <w:t xml:space="preserve"> 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маршрутів загального користування в режимі маршрутного таксі у Вінницькій міській територіальній громаді»</w:t>
      </w:r>
      <w:r w:rsidR="001A257E" w:rsidRPr="0077566E">
        <w:rPr>
          <w:rFonts w:ascii="Times New Roman" w:hAnsi="Times New Roman" w:cs="Times New Roman"/>
          <w:sz w:val="28"/>
        </w:rPr>
        <w:t>, яка налічує 3</w:t>
      </w:r>
      <w:r w:rsidR="006B1AD7" w:rsidRPr="0077566E">
        <w:rPr>
          <w:rFonts w:ascii="Times New Roman" w:hAnsi="Times New Roman" w:cs="Times New Roman"/>
          <w:sz w:val="28"/>
        </w:rPr>
        <w:t>3</w:t>
      </w:r>
      <w:r w:rsidR="001A257E" w:rsidRPr="0077566E">
        <w:rPr>
          <w:rFonts w:ascii="Times New Roman" w:hAnsi="Times New Roman" w:cs="Times New Roman"/>
          <w:sz w:val="28"/>
        </w:rPr>
        <w:t xml:space="preserve"> автобусн</w:t>
      </w:r>
      <w:r w:rsidR="0077566E" w:rsidRPr="0077566E">
        <w:rPr>
          <w:rFonts w:ascii="Times New Roman" w:hAnsi="Times New Roman" w:cs="Times New Roman"/>
          <w:sz w:val="28"/>
        </w:rPr>
        <w:t>і</w:t>
      </w:r>
      <w:r w:rsidR="001A257E" w:rsidRPr="0077566E">
        <w:rPr>
          <w:rFonts w:ascii="Times New Roman" w:hAnsi="Times New Roman" w:cs="Times New Roman"/>
          <w:sz w:val="28"/>
        </w:rPr>
        <w:t xml:space="preserve"> маршрут</w:t>
      </w:r>
      <w:r w:rsidR="006B1AD7" w:rsidRPr="0077566E">
        <w:rPr>
          <w:rFonts w:ascii="Times New Roman" w:hAnsi="Times New Roman" w:cs="Times New Roman"/>
          <w:sz w:val="28"/>
        </w:rPr>
        <w:t>и</w:t>
      </w:r>
      <w:r w:rsidR="001A257E" w:rsidRPr="0077566E">
        <w:rPr>
          <w:rFonts w:ascii="Times New Roman" w:hAnsi="Times New Roman" w:cs="Times New Roman"/>
          <w:sz w:val="28"/>
        </w:rPr>
        <w:t xml:space="preserve">. </w:t>
      </w:r>
    </w:p>
    <w:p w:rsidR="002C3975" w:rsidRPr="0077566E" w:rsidRDefault="002C3975" w:rsidP="002C3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перевезення пасажирів на автобусних маршрутах загального користування в режимі маршрутного таксі на території ВМТГ надаються приватними перевізниками – юридичними та фізичними особами – підприємцями.</w:t>
      </w:r>
    </w:p>
    <w:p w:rsidR="00AE38D0" w:rsidRPr="0077566E" w:rsidRDefault="00013033" w:rsidP="00B6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Діючі</w:t>
      </w:r>
      <w:r w:rsidR="00983C5B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тарифи </w:t>
      </w:r>
      <w:r w:rsidR="00AC567E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перевезення пасажирів на автобусних маршрутах загального користування в режимі маршрутного таксі</w:t>
      </w:r>
      <w:r w:rsidR="00AF63A9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встановлені </w:t>
      </w:r>
      <w:r w:rsidR="008F4921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 у 2018 році </w:t>
      </w:r>
      <w:r w:rsidR="00AF63A9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r w:rsidR="00AC567E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Вінницької міської ради від</w:t>
      </w:r>
      <w:r w:rsidR="00A935D3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A24AE6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935D3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24AE6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935D3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24AE6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8 №1839</w:t>
      </w:r>
      <w:r w:rsidR="00A935D3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6672" w:rsidRPr="00C42014">
        <w:rPr>
          <w:rFonts w:ascii="Times New Roman" w:hAnsi="Times New Roman" w:cs="Times New Roman"/>
          <w:sz w:val="28"/>
          <w:szCs w:val="28"/>
        </w:rPr>
        <w:t xml:space="preserve">Про </w:t>
      </w:r>
      <w:r w:rsidR="00A24AE6" w:rsidRPr="00C42014">
        <w:rPr>
          <w:rFonts w:ascii="Times New Roman" w:hAnsi="Times New Roman" w:cs="Times New Roman"/>
          <w:sz w:val="28"/>
          <w:szCs w:val="28"/>
        </w:rPr>
        <w:t>внесення змін до рішення виконавчого комітету міської ради від 31.02.2012 №203</w:t>
      </w:r>
      <w:r w:rsidR="00AC567E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F73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C567E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62F73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AC567E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змінами)</w:t>
      </w:r>
      <w:r w:rsidR="00A24AE6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F4921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872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становлять </w:t>
      </w:r>
      <w:r w:rsidR="008F4921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5,00 грн до 8,00 грн.</w:t>
      </w:r>
      <w:r w:rsidR="00A24AE6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921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Крім </w:t>
      </w:r>
      <w:r w:rsidR="008C0872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F4921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ого, </w:t>
      </w:r>
      <w:r w:rsidR="00225223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введенням нових маршрутів, рішенням</w:t>
      </w:r>
      <w:r w:rsidR="00A24AE6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223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Вінницької міської ради </w:t>
      </w:r>
      <w:r w:rsidR="00A24AE6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30.12.2020 №2912 «</w:t>
      </w:r>
      <w:r w:rsidR="00A24AE6" w:rsidRPr="00C42014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міської ради від 31.02.2012 №203</w:t>
      </w:r>
      <w:r w:rsidR="00A24AE6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змінами)»</w:t>
      </w:r>
      <w:r w:rsidR="005610B4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872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встановлені тарифи на перевезення пасажирів на маршрутах №30А та №30Б в розмірі</w:t>
      </w:r>
      <w:r w:rsidR="005610B4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</w:t>
      </w:r>
      <w:r w:rsidR="00725D2B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5610B4" w:rsidRPr="00C4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  <w:r w:rsidR="005610B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7526" w:rsidRPr="0077566E" w:rsidRDefault="00306788" w:rsidP="001F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hAnsi="Times New Roman" w:cs="Times New Roman"/>
          <w:sz w:val="28"/>
          <w:szCs w:val="28"/>
        </w:rPr>
        <w:t>Економічна ситуація в країні, с</w:t>
      </w:r>
      <w:r w:rsidR="00F6523E" w:rsidRPr="0077566E">
        <w:rPr>
          <w:rFonts w:ascii="Times New Roman" w:hAnsi="Times New Roman" w:cs="Times New Roman"/>
          <w:sz w:val="28"/>
          <w:szCs w:val="28"/>
        </w:rPr>
        <w:t xml:space="preserve">таном на сьогодні, </w:t>
      </w:r>
      <w:r w:rsidR="00877526" w:rsidRPr="0077566E">
        <w:rPr>
          <w:rFonts w:ascii="Times New Roman" w:hAnsi="Times New Roman" w:cs="Times New Roman"/>
          <w:sz w:val="28"/>
          <w:szCs w:val="28"/>
        </w:rPr>
        <w:t>призвела до суттєвого підвищення цін на більшу частин</w:t>
      </w:r>
      <w:r w:rsidR="00AE5BB9" w:rsidRPr="0077566E">
        <w:rPr>
          <w:rFonts w:ascii="Times New Roman" w:hAnsi="Times New Roman" w:cs="Times New Roman"/>
          <w:sz w:val="28"/>
          <w:szCs w:val="28"/>
        </w:rPr>
        <w:t>у статей калькуляційних витрат</w:t>
      </w:r>
      <w:r w:rsidR="00877526" w:rsidRPr="0077566E">
        <w:rPr>
          <w:rFonts w:ascii="Times New Roman" w:hAnsi="Times New Roman" w:cs="Times New Roman"/>
          <w:sz w:val="28"/>
          <w:szCs w:val="28"/>
        </w:rPr>
        <w:t xml:space="preserve"> собівартості послуг, зокрема, розміру мінімальної заробітної плати </w:t>
      </w:r>
      <w:r w:rsidR="001F1F58" w:rsidRPr="0077566E">
        <w:rPr>
          <w:rFonts w:ascii="Times New Roman" w:hAnsi="Times New Roman" w:cs="Times New Roman"/>
          <w:sz w:val="28"/>
          <w:szCs w:val="28"/>
        </w:rPr>
        <w:t>на загальнодержавному рівні</w:t>
      </w:r>
      <w:r w:rsidR="00877526" w:rsidRPr="0077566E">
        <w:rPr>
          <w:rFonts w:ascii="Times New Roman" w:hAnsi="Times New Roman" w:cs="Times New Roman"/>
          <w:sz w:val="28"/>
          <w:szCs w:val="28"/>
        </w:rPr>
        <w:t xml:space="preserve">, вартості паливно-мастильних матеріалів, деталей та запчастин. </w:t>
      </w:r>
      <w:r w:rsidR="001F1F58" w:rsidRPr="0077566E">
        <w:rPr>
          <w:rFonts w:ascii="Times New Roman" w:hAnsi="Times New Roman" w:cs="Times New Roman"/>
          <w:sz w:val="28"/>
          <w:szCs w:val="28"/>
        </w:rPr>
        <w:t>Як наслідок,</w:t>
      </w:r>
      <w:r w:rsidR="00F6523E" w:rsidRPr="0077566E">
        <w:rPr>
          <w:rFonts w:ascii="Times New Roman" w:hAnsi="Times New Roman" w:cs="Times New Roman"/>
          <w:sz w:val="28"/>
          <w:szCs w:val="28"/>
        </w:rPr>
        <w:t xml:space="preserve"> перевізники</w:t>
      </w:r>
      <w:r w:rsidR="00877526" w:rsidRPr="0077566E">
        <w:rPr>
          <w:rFonts w:ascii="Times New Roman" w:hAnsi="Times New Roman" w:cs="Times New Roman"/>
          <w:sz w:val="28"/>
          <w:szCs w:val="28"/>
        </w:rPr>
        <w:t xml:space="preserve"> </w:t>
      </w:r>
      <w:r w:rsidR="00F6523E" w:rsidRPr="0077566E">
        <w:rPr>
          <w:rFonts w:ascii="Times New Roman" w:hAnsi="Times New Roman" w:cs="Times New Roman"/>
          <w:sz w:val="28"/>
          <w:szCs w:val="28"/>
        </w:rPr>
        <w:t>не мають можливості</w:t>
      </w:r>
      <w:r w:rsidRPr="0077566E">
        <w:rPr>
          <w:rFonts w:ascii="Times New Roman" w:hAnsi="Times New Roman" w:cs="Times New Roman"/>
          <w:sz w:val="28"/>
          <w:szCs w:val="28"/>
        </w:rPr>
        <w:t xml:space="preserve"> забезпечувати відповідну якість надання послуг з перевезення пасажирів та</w:t>
      </w:r>
      <w:r w:rsidR="00F6523E" w:rsidRPr="0077566E">
        <w:rPr>
          <w:rFonts w:ascii="Times New Roman" w:hAnsi="Times New Roman" w:cs="Times New Roman"/>
          <w:sz w:val="28"/>
          <w:szCs w:val="28"/>
        </w:rPr>
        <w:t xml:space="preserve"> регулярність руху автобусів на міських маршрутах. </w:t>
      </w:r>
      <w:r w:rsidR="00877526" w:rsidRPr="0077566E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1F1F58" w:rsidRPr="0077566E">
        <w:rPr>
          <w:rFonts w:ascii="Times New Roman" w:hAnsi="Times New Roman" w:cs="Times New Roman"/>
          <w:sz w:val="28"/>
          <w:szCs w:val="28"/>
        </w:rPr>
        <w:t>з</w:t>
      </w:r>
      <w:r w:rsidR="00877526" w:rsidRPr="0077566E">
        <w:rPr>
          <w:rFonts w:ascii="Times New Roman" w:hAnsi="Times New Roman" w:cs="Times New Roman"/>
          <w:sz w:val="28"/>
          <w:szCs w:val="28"/>
        </w:rPr>
        <w:t>а інформацією Головного управління статистики у Вінницькій області</w:t>
      </w:r>
      <w:r w:rsidR="00732E6D" w:rsidRPr="0077566E">
        <w:rPr>
          <w:rFonts w:ascii="Times New Roman" w:hAnsi="Times New Roman" w:cs="Times New Roman"/>
          <w:sz w:val="28"/>
          <w:szCs w:val="28"/>
        </w:rPr>
        <w:t xml:space="preserve"> від 28.01.2021р. №07.1-71/180-21</w:t>
      </w:r>
      <w:r w:rsidRPr="0077566E">
        <w:rPr>
          <w:rFonts w:ascii="Times New Roman" w:hAnsi="Times New Roman" w:cs="Times New Roman"/>
          <w:sz w:val="28"/>
          <w:szCs w:val="28"/>
        </w:rPr>
        <w:t>,</w:t>
      </w:r>
      <w:r w:rsidR="00877526" w:rsidRPr="0077566E">
        <w:rPr>
          <w:rFonts w:ascii="Times New Roman" w:hAnsi="Times New Roman" w:cs="Times New Roman"/>
          <w:sz w:val="28"/>
          <w:szCs w:val="28"/>
        </w:rPr>
        <w:t xml:space="preserve"> за 2020 рік обсяг міських пасажирських перевезень автомобільним транспортом загального користування в м. </w:t>
      </w:r>
      <w:r w:rsidR="00E31B0A" w:rsidRPr="0077566E">
        <w:rPr>
          <w:rFonts w:ascii="Times New Roman" w:hAnsi="Times New Roman" w:cs="Times New Roman"/>
          <w:sz w:val="28"/>
          <w:szCs w:val="28"/>
        </w:rPr>
        <w:t xml:space="preserve">Вінниця </w:t>
      </w:r>
      <w:r w:rsidR="001F1F58" w:rsidRPr="0077566E">
        <w:rPr>
          <w:rFonts w:ascii="Times New Roman" w:hAnsi="Times New Roman" w:cs="Times New Roman"/>
          <w:sz w:val="28"/>
          <w:szCs w:val="28"/>
        </w:rPr>
        <w:t>знизився</w:t>
      </w:r>
      <w:r w:rsidR="00E31B0A" w:rsidRPr="0077566E">
        <w:rPr>
          <w:rFonts w:ascii="Times New Roman" w:hAnsi="Times New Roman" w:cs="Times New Roman"/>
          <w:sz w:val="28"/>
          <w:szCs w:val="28"/>
        </w:rPr>
        <w:t xml:space="preserve"> на 62,1% порівняно з 2019 роком</w:t>
      </w:r>
      <w:r w:rsidR="00877526" w:rsidRPr="0077566E">
        <w:rPr>
          <w:rFonts w:ascii="Times New Roman" w:hAnsi="Times New Roman" w:cs="Times New Roman"/>
          <w:sz w:val="28"/>
          <w:szCs w:val="28"/>
        </w:rPr>
        <w:t>.</w:t>
      </w:r>
      <w:r w:rsidR="005C6880" w:rsidRPr="00775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895" w:rsidRPr="0077566E" w:rsidRDefault="00C52A67" w:rsidP="007B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7566E">
        <w:rPr>
          <w:rFonts w:ascii="Times New Roman" w:hAnsi="Times New Roman" w:cs="Times New Roman"/>
          <w:sz w:val="28"/>
        </w:rPr>
        <w:t>З метою створення уніфікованої системи транспортних перевезень пасажирів та отримання прозорих даних про результати та ефективність діяльності транспортних перевізників,</w:t>
      </w:r>
      <w:r w:rsidR="00124015" w:rsidRPr="0077566E">
        <w:rPr>
          <w:rFonts w:ascii="Times New Roman" w:hAnsi="Times New Roman" w:cs="Times New Roman"/>
          <w:sz w:val="28"/>
        </w:rPr>
        <w:t xml:space="preserve"> на території ВМТГ триває реалізація</w:t>
      </w:r>
      <w:r w:rsidR="007B0895" w:rsidRPr="0077566E">
        <w:rPr>
          <w:rFonts w:ascii="Times New Roman" w:hAnsi="Times New Roman" w:cs="Times New Roman"/>
          <w:sz w:val="28"/>
        </w:rPr>
        <w:t xml:space="preserve"> проєкту «Впровадження автоматизованої системи збору плати за проїзд в громадському транспорті в м. Вінниця», започаткованого відповідно до рішення міської ради від 27.06.2018 №1254 «Про впровадження автоматизованої системи обліку оплати проїзду в міському електричному та </w:t>
      </w:r>
      <w:r w:rsidR="00A91836" w:rsidRPr="0077566E">
        <w:rPr>
          <w:rFonts w:ascii="Times New Roman" w:hAnsi="Times New Roman" w:cs="Times New Roman"/>
          <w:sz w:val="28"/>
        </w:rPr>
        <w:t>а</w:t>
      </w:r>
      <w:r w:rsidR="007B0895" w:rsidRPr="0077566E">
        <w:rPr>
          <w:rFonts w:ascii="Times New Roman" w:hAnsi="Times New Roman" w:cs="Times New Roman"/>
          <w:sz w:val="28"/>
        </w:rPr>
        <w:t xml:space="preserve">втомобільному транспорті загального користування у м. Вінниці». </w:t>
      </w:r>
    </w:p>
    <w:p w:rsidR="007B0895" w:rsidRPr="0077566E" w:rsidRDefault="007B0895" w:rsidP="007B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7566E">
        <w:rPr>
          <w:rFonts w:ascii="Times New Roman" w:hAnsi="Times New Roman" w:cs="Times New Roman"/>
          <w:sz w:val="28"/>
        </w:rPr>
        <w:lastRenderedPageBreak/>
        <w:t>Даним проєктом передбачається встановлення обладнання для реєстрації електронного квитка не тільки в міському електричному транспорті та автобусах загального користування, але й в усіх маршрутних таксі міста.</w:t>
      </w:r>
    </w:p>
    <w:p w:rsidR="00C76C4B" w:rsidRPr="0077566E" w:rsidRDefault="00AC1AF7" w:rsidP="001F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вищевикладене, перевізники </w:t>
      </w:r>
      <w:r w:rsidR="0062265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звернулись до виконавчих органів міської влади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BF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2265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питання</w:t>
      </w:r>
      <w:r w:rsidR="000D563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265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перегляду 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тарифів на перевезення пасажирів на автобусних маршрутах загального користування в режимі маршрутного таксі. </w:t>
      </w:r>
    </w:p>
    <w:p w:rsidR="008F19D2" w:rsidRPr="0077566E" w:rsidRDefault="00614F4F" w:rsidP="00C76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 регуляторного </w:t>
      </w:r>
      <w:r w:rsidR="001B0A9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регламентує відносини між </w:t>
      </w:r>
      <w:r w:rsidR="000D563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мешканцями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63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ВМТГ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суб’єктами господарювання в сфері надання послуг з </w:t>
      </w:r>
      <w:r w:rsidR="00CD27BF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перевезення </w:t>
      </w:r>
      <w:r w:rsidR="00AC1AF7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пасажирів на автобусних маршрутах загального користування в режимі маршрутного таксі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органами місцевого самоврядування.</w:t>
      </w:r>
    </w:p>
    <w:p w:rsidR="00AC1AF7" w:rsidRPr="0077566E" w:rsidRDefault="005B279C" w:rsidP="004A0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ведення в дію регуляторного </w:t>
      </w:r>
      <w:r w:rsidR="001B0A9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C76C4B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 Вінницької міської ради «Про внесення змін до рішення виконавчого комітету м</w:t>
      </w:r>
      <w:r w:rsidR="005C2B6E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іської ради від 31.01</w:t>
      </w:r>
      <w:r w:rsidR="009B3D7E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.2012 №203 </w:t>
      </w:r>
      <w:r w:rsidR="009432D8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(зі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змінами)»</w:t>
      </w:r>
      <w:r w:rsidR="00783AA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</w:t>
      </w:r>
      <w:r w:rsidR="00783AA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57E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змогу задовільнити підприємницький інтерес перевізників та забезпечити сталий розвиток </w:t>
      </w:r>
      <w:r w:rsidR="00783AA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57E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пасажирських перевезень у режимі маршрутного таксі на території ВМТГ.</w:t>
      </w:r>
    </w:p>
    <w:p w:rsidR="00AC1AF7" w:rsidRPr="0077566E" w:rsidRDefault="00AC1AF7" w:rsidP="00AC1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2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Визначення основних груп (підгруп), на які проблема справляє впли</w:t>
      </w:r>
      <w:r w:rsidRPr="007756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в:</w:t>
      </w:r>
    </w:p>
    <w:p w:rsidR="00577F44" w:rsidRPr="0077566E" w:rsidRDefault="00577F44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837"/>
      </w:tblGrid>
      <w:tr w:rsidR="00577F44" w:rsidRPr="0077566E" w:rsidTr="004E3442">
        <w:tc>
          <w:tcPr>
            <w:tcW w:w="6374" w:type="dxa"/>
          </w:tcPr>
          <w:p w:rsidR="00577F44" w:rsidRPr="0077566E" w:rsidRDefault="00577F44" w:rsidP="00577F44">
            <w:pPr>
              <w:ind w:firstLine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Групи (підгрупи)</w:t>
            </w:r>
          </w:p>
        </w:tc>
        <w:tc>
          <w:tcPr>
            <w:tcW w:w="1701" w:type="dxa"/>
          </w:tcPr>
          <w:p w:rsidR="00577F44" w:rsidRPr="0077566E" w:rsidRDefault="00577F44" w:rsidP="00577F44">
            <w:pPr>
              <w:ind w:firstLine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7566E">
              <w:rPr>
                <w:b/>
                <w:iCs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1837" w:type="dxa"/>
          </w:tcPr>
          <w:p w:rsidR="00577F44" w:rsidRPr="0077566E" w:rsidRDefault="00577F44" w:rsidP="00577F44">
            <w:pPr>
              <w:ind w:firstLine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7566E">
              <w:rPr>
                <w:b/>
                <w:iCs/>
                <w:sz w:val="24"/>
                <w:szCs w:val="24"/>
                <w:lang w:eastAsia="ru-RU"/>
              </w:rPr>
              <w:t>Ні</w:t>
            </w:r>
          </w:p>
        </w:tc>
      </w:tr>
      <w:tr w:rsidR="00577F44" w:rsidRPr="0077566E" w:rsidTr="004E3442">
        <w:tc>
          <w:tcPr>
            <w:tcW w:w="6374" w:type="dxa"/>
            <w:vAlign w:val="bottom"/>
          </w:tcPr>
          <w:p w:rsidR="00577F44" w:rsidRPr="0077566E" w:rsidRDefault="00577F44" w:rsidP="00577F44">
            <w:pPr>
              <w:ind w:firstLine="0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Громадяни</w:t>
            </w:r>
          </w:p>
        </w:tc>
        <w:tc>
          <w:tcPr>
            <w:tcW w:w="1701" w:type="dxa"/>
          </w:tcPr>
          <w:p w:rsidR="00577F44" w:rsidRPr="0077566E" w:rsidRDefault="00577F44" w:rsidP="00577F44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7566E">
              <w:rPr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37" w:type="dxa"/>
          </w:tcPr>
          <w:p w:rsidR="00577F44" w:rsidRPr="0077566E" w:rsidRDefault="00577F44" w:rsidP="00577F44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7566E">
              <w:rPr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577F44" w:rsidRPr="0077566E" w:rsidTr="004E3442">
        <w:tc>
          <w:tcPr>
            <w:tcW w:w="6374" w:type="dxa"/>
            <w:vAlign w:val="bottom"/>
          </w:tcPr>
          <w:p w:rsidR="00577F44" w:rsidRPr="0077566E" w:rsidRDefault="000F7063" w:rsidP="00577F44">
            <w:pPr>
              <w:ind w:firstLine="0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Держава (ВМТГ)</w:t>
            </w:r>
          </w:p>
        </w:tc>
        <w:tc>
          <w:tcPr>
            <w:tcW w:w="1701" w:type="dxa"/>
          </w:tcPr>
          <w:p w:rsidR="00577F44" w:rsidRPr="0077566E" w:rsidRDefault="00577F44" w:rsidP="00577F44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7566E">
              <w:rPr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37" w:type="dxa"/>
          </w:tcPr>
          <w:p w:rsidR="00577F44" w:rsidRPr="0077566E" w:rsidRDefault="00577F44" w:rsidP="00577F44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7566E">
              <w:rPr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577F44" w:rsidRPr="0077566E" w:rsidTr="004E3442">
        <w:tc>
          <w:tcPr>
            <w:tcW w:w="6374" w:type="dxa"/>
            <w:vAlign w:val="bottom"/>
          </w:tcPr>
          <w:p w:rsidR="00577F44" w:rsidRPr="0077566E" w:rsidRDefault="000F7063" w:rsidP="00577F44">
            <w:pPr>
              <w:ind w:firstLine="0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Суб’єкти господарювання</w:t>
            </w:r>
          </w:p>
        </w:tc>
        <w:tc>
          <w:tcPr>
            <w:tcW w:w="1701" w:type="dxa"/>
          </w:tcPr>
          <w:p w:rsidR="00577F44" w:rsidRPr="0077566E" w:rsidRDefault="00577F44" w:rsidP="00577F44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7566E">
              <w:rPr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37" w:type="dxa"/>
          </w:tcPr>
          <w:p w:rsidR="00577F44" w:rsidRPr="0077566E" w:rsidRDefault="00577F44" w:rsidP="00577F44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7566E">
              <w:rPr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577F44" w:rsidRPr="0077566E" w:rsidTr="004E3442">
        <w:tc>
          <w:tcPr>
            <w:tcW w:w="6374" w:type="dxa"/>
            <w:vAlign w:val="bottom"/>
          </w:tcPr>
          <w:p w:rsidR="00577F44" w:rsidRPr="0077566E" w:rsidRDefault="00577F44" w:rsidP="00577F44">
            <w:pPr>
              <w:ind w:firstLine="0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у тому числі суб’єкти малого підприємництва</w:t>
            </w:r>
          </w:p>
        </w:tc>
        <w:tc>
          <w:tcPr>
            <w:tcW w:w="1701" w:type="dxa"/>
          </w:tcPr>
          <w:p w:rsidR="00577F44" w:rsidRPr="0077566E" w:rsidRDefault="00577F44" w:rsidP="00577F44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7566E">
              <w:rPr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37" w:type="dxa"/>
          </w:tcPr>
          <w:p w:rsidR="00577F44" w:rsidRPr="0077566E" w:rsidRDefault="00577F44" w:rsidP="00577F44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7566E">
              <w:rPr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577F44" w:rsidRPr="0077566E" w:rsidRDefault="00577F44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F19D2" w:rsidRPr="0077566E" w:rsidRDefault="00225342" w:rsidP="004B3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підвищення тарифів на перевезення пасажирів на автобусних маршрутах загального користування в режимі маршрутного таксі не може бути розв’язана за допомогою ринкових механізмів, </w:t>
      </w:r>
      <w:r w:rsidR="000648C1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оскільки вищевказані тарифи </w:t>
      </w:r>
      <w:r w:rsidR="000F7063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регулюються на рівні органів місцевого самоврядування</w:t>
      </w:r>
      <w:r w:rsidR="000648C1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7063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діяльність яких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9114F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даному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напрямку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</w:t>
      </w:r>
      <w:r w:rsidR="000648C1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ється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</w:t>
      </w:r>
      <w:r w:rsidR="000F7063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0648C1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зокрема:</w:t>
      </w:r>
    </w:p>
    <w:p w:rsidR="008F19D2" w:rsidRPr="0077566E" w:rsidRDefault="00225342" w:rsidP="004B3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п.п.2 п.</w:t>
      </w:r>
      <w:r w:rsidR="00993FF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«а» ст.28 Закону України «Про місцеве самоврядування в Україні»</w:t>
      </w:r>
      <w:r w:rsidR="0034564E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згідно якого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E7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повноважень виконавчих органів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міських рад </w:t>
      </w:r>
      <w:r w:rsidR="00D37E7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відноситься, у тому числі, встановлення тарифів на транспортні послуги,</w:t>
      </w:r>
      <w:r w:rsidR="00D37E74" w:rsidRPr="0077566E">
        <w:rPr>
          <w:shd w:val="clear" w:color="auto" w:fill="FFFFFF"/>
        </w:rPr>
        <w:t xml:space="preserve"> </w:t>
      </w:r>
      <w:r w:rsidR="00D37E74" w:rsidRPr="0077566E">
        <w:rPr>
          <w:rFonts w:ascii="Times New Roman" w:hAnsi="Times New Roman" w:cs="Times New Roman"/>
          <w:sz w:val="28"/>
          <w:shd w:val="clear" w:color="auto" w:fill="FFFFFF"/>
        </w:rPr>
        <w:t>в порядку і межах, визначених законодавством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19D2" w:rsidRPr="0077566E" w:rsidRDefault="00225342" w:rsidP="004B3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ст.10 Закону України «Про автомобільний транспорт»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відповідно до якої </w:t>
      </w:r>
      <w:r w:rsidR="00CF593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єдиної тарифної політики передбачає затверджену центральним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93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виконавчої влади, що забезпечує формування та реалізує державну політику у сфері транспорту, методику розрахунку</w:t>
      </w:r>
      <w:r w:rsidR="0018048B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93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тарифів за видами перевезень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5932" w:rsidRPr="0077566E" w:rsidRDefault="008F19D2" w:rsidP="004B3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C4B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C4B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1.2 Методики розрахунку тарифів на послуги пасажирського автомобіль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76C4B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транспорту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6C4B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затвердженої наказом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транспорту та </w:t>
      </w:r>
      <w:r w:rsidR="00C76C4B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 України від 17.11.2009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№1175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якого </w:t>
      </w:r>
      <w:r w:rsidR="00CF593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є 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обов’язковою</w:t>
      </w:r>
      <w:r w:rsidR="00CF593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застосування під час встановлення регульованого тарифу органами виконавчої влади та місцевого самоврядування на послуги пасажирського автомобільного транспорту (далі </w:t>
      </w:r>
      <w:r w:rsidR="004B374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93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Послуги) і носить рекомендаційний характер під час формування вільних тарифів на ці послуги.</w:t>
      </w:r>
    </w:p>
    <w:p w:rsidR="00100172" w:rsidRPr="0077566E" w:rsidRDefault="00100172" w:rsidP="0018048B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A67" w:rsidRPr="0077566E" w:rsidRDefault="00C52A67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1"/>
    </w:p>
    <w:p w:rsidR="008F19D2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Цілі державного регулювання</w:t>
      </w:r>
      <w:bookmarkEnd w:id="1"/>
    </w:p>
    <w:p w:rsidR="002068B2" w:rsidRPr="0077566E" w:rsidRDefault="002068B2" w:rsidP="007A0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5A0" w:rsidRPr="0077566E" w:rsidRDefault="006319AB" w:rsidP="00631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Цілями прийняття </w:t>
      </w:r>
      <w:r w:rsidR="00AF63A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7726BB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Вінницької міської ради «Про внесення змін до рішення виконавчого</w:t>
      </w:r>
      <w:r w:rsidR="005C2B6E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комітету міської ради від 31.01</w:t>
      </w:r>
      <w:r w:rsidR="007726BB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.2012 №203 (зі змінами)» </w:t>
      </w:r>
      <w:r w:rsidR="002C248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1A25A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25A0" w:rsidRPr="0077566E" w:rsidRDefault="001A25A0" w:rsidP="001A25A0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балансу інтересів перевізників, що обслуговують автобусні маршрути</w:t>
      </w:r>
      <w:r w:rsidR="002C248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 користування в режимі маршрутного таксі</w:t>
      </w:r>
      <w:r w:rsid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пасажирів;</w:t>
      </w:r>
    </w:p>
    <w:p w:rsidR="001A25A0" w:rsidRPr="0077566E" w:rsidRDefault="001A25A0" w:rsidP="001A25A0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приведення тарифів </w:t>
      </w:r>
      <w:r w:rsidR="007726BB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перевезення пасажирів на автобусних маршрутах загального користування в режимі маршрутного таксі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економічно обґрунтованого рівня;</w:t>
      </w:r>
    </w:p>
    <w:p w:rsidR="00022ED4" w:rsidRPr="0077566E" w:rsidRDefault="006319AB" w:rsidP="001A25A0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</w:t>
      </w:r>
      <w:r w:rsidR="004E43CD" w:rsidRPr="0077566E">
        <w:rPr>
          <w:rFonts w:ascii="Times New Roman" w:hAnsi="Times New Roman" w:cs="Times New Roman"/>
          <w:sz w:val="28"/>
          <w:szCs w:val="28"/>
        </w:rPr>
        <w:t>стабільних, якісних та</w:t>
      </w:r>
      <w:r w:rsidRPr="0077566E">
        <w:rPr>
          <w:rFonts w:ascii="Times New Roman" w:hAnsi="Times New Roman" w:cs="Times New Roman"/>
          <w:sz w:val="28"/>
          <w:szCs w:val="28"/>
        </w:rPr>
        <w:t xml:space="preserve"> безпечних транспортних послуг </w:t>
      </w:r>
      <w:r w:rsidR="004E43CD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ВМТГ</w:t>
      </w:r>
      <w:r w:rsidR="004E43CD" w:rsidRPr="0077566E">
        <w:rPr>
          <w:rFonts w:ascii="Times New Roman" w:hAnsi="Times New Roman" w:cs="Times New Roman"/>
          <w:sz w:val="28"/>
          <w:szCs w:val="28"/>
        </w:rPr>
        <w:t xml:space="preserve"> </w:t>
      </w:r>
      <w:r w:rsidRPr="0077566E">
        <w:rPr>
          <w:rFonts w:ascii="Times New Roman" w:hAnsi="Times New Roman" w:cs="Times New Roman"/>
          <w:sz w:val="28"/>
          <w:szCs w:val="28"/>
        </w:rPr>
        <w:t>на умовах ведення беззбиткової господарської діяльності перевізників.</w:t>
      </w:r>
    </w:p>
    <w:p w:rsidR="00C537EC" w:rsidRPr="0077566E" w:rsidRDefault="00C537EC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bookmark2"/>
    </w:p>
    <w:p w:rsidR="008F19D2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ІІІ. Визначення та оцінка альтернативних способів досягнення цілей</w:t>
      </w:r>
      <w:bookmarkEnd w:id="2"/>
    </w:p>
    <w:p w:rsidR="002068B2" w:rsidRPr="0077566E" w:rsidRDefault="002068B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9D2" w:rsidRPr="0077566E" w:rsidRDefault="00F758B3" w:rsidP="004B3740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 альтернативних способів</w:t>
      </w:r>
    </w:p>
    <w:p w:rsidR="00251483" w:rsidRPr="0077566E" w:rsidRDefault="00251483" w:rsidP="00251483">
      <w:pPr>
        <w:pStyle w:val="a5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D203B7" w:rsidRPr="0077566E" w:rsidTr="007D6FF1">
        <w:tc>
          <w:tcPr>
            <w:tcW w:w="2547" w:type="dxa"/>
          </w:tcPr>
          <w:p w:rsidR="00D203B7" w:rsidRPr="0077566E" w:rsidRDefault="00D203B7" w:rsidP="00D203B7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7371" w:type="dxa"/>
          </w:tcPr>
          <w:p w:rsidR="00D203B7" w:rsidRPr="0077566E" w:rsidRDefault="00D203B7" w:rsidP="00D203B7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Опис альтернативи</w:t>
            </w:r>
          </w:p>
        </w:tc>
      </w:tr>
      <w:tr w:rsidR="00D203B7" w:rsidRPr="0077566E" w:rsidTr="007D6FF1">
        <w:tc>
          <w:tcPr>
            <w:tcW w:w="2547" w:type="dxa"/>
          </w:tcPr>
          <w:p w:rsidR="00D203B7" w:rsidRPr="0077566E" w:rsidRDefault="00D203B7" w:rsidP="00D203B7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7371" w:type="dxa"/>
          </w:tcPr>
          <w:p w:rsidR="00D203B7" w:rsidRPr="0077566E" w:rsidRDefault="00D203B7" w:rsidP="00D203B7">
            <w:pPr>
              <w:ind w:firstLine="0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Збереження діючих тарифів</w:t>
            </w:r>
            <w:r w:rsidR="0077566E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5A55D3" w:rsidRPr="0077566E" w:rsidTr="007D6FF1">
        <w:tc>
          <w:tcPr>
            <w:tcW w:w="2547" w:type="dxa"/>
          </w:tcPr>
          <w:p w:rsidR="005A55D3" w:rsidRPr="0077566E" w:rsidRDefault="005A55D3" w:rsidP="005A55D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2</w:t>
            </w:r>
          </w:p>
          <w:p w:rsidR="005A55D3" w:rsidRPr="0077566E" w:rsidRDefault="005A55D3" w:rsidP="005A55D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5A55D3" w:rsidRPr="0077566E" w:rsidRDefault="005A55D3" w:rsidP="00612AC4">
            <w:pPr>
              <w:ind w:firstLine="0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Передбачення в бюджеті</w:t>
            </w:r>
            <w:r w:rsidR="004C090A">
              <w:rPr>
                <w:sz w:val="24"/>
                <w:szCs w:val="24"/>
                <w:lang w:eastAsia="ru-RU"/>
              </w:rPr>
              <w:t xml:space="preserve"> ВМТГ</w:t>
            </w:r>
            <w:r w:rsidRPr="0077566E">
              <w:rPr>
                <w:sz w:val="24"/>
                <w:szCs w:val="24"/>
                <w:lang w:eastAsia="ru-RU"/>
              </w:rPr>
              <w:t xml:space="preserve"> компенсації на покриття збитків</w:t>
            </w:r>
            <w:r w:rsidR="00612AC4" w:rsidRPr="0077566E">
              <w:rPr>
                <w:sz w:val="24"/>
                <w:szCs w:val="24"/>
                <w:lang w:eastAsia="ru-RU"/>
              </w:rPr>
              <w:t xml:space="preserve"> перевізників</w:t>
            </w:r>
            <w:r w:rsidRPr="0077566E">
              <w:rPr>
                <w:sz w:val="24"/>
                <w:szCs w:val="24"/>
                <w:lang w:eastAsia="ru-RU"/>
              </w:rPr>
              <w:t xml:space="preserve"> від неповного відшкодування економічно обґрунтованих витрат </w:t>
            </w:r>
            <w:r w:rsidR="00612AC4" w:rsidRPr="0077566E">
              <w:rPr>
                <w:sz w:val="24"/>
                <w:szCs w:val="24"/>
                <w:lang w:eastAsia="ru-RU"/>
              </w:rPr>
              <w:t>у тарифах</w:t>
            </w:r>
            <w:r w:rsidRPr="0077566E">
              <w:rPr>
                <w:sz w:val="24"/>
                <w:szCs w:val="24"/>
                <w:lang w:eastAsia="ru-RU"/>
              </w:rPr>
              <w:t xml:space="preserve"> без їх зміни</w:t>
            </w:r>
            <w:r w:rsidR="0077566E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5A55D3" w:rsidRPr="0077566E" w:rsidTr="007D6FF1">
        <w:tc>
          <w:tcPr>
            <w:tcW w:w="2547" w:type="dxa"/>
          </w:tcPr>
          <w:p w:rsidR="005A55D3" w:rsidRPr="0077566E" w:rsidRDefault="005A55D3" w:rsidP="005A55D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7371" w:type="dxa"/>
          </w:tcPr>
          <w:p w:rsidR="005A55D3" w:rsidRPr="0077566E" w:rsidRDefault="005A55D3" w:rsidP="005A55D3">
            <w:pPr>
              <w:ind w:firstLine="0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 xml:space="preserve">Підвищення тарифів за рахунок впровадження регуляторного </w:t>
            </w:r>
            <w:r w:rsidR="001B0A9C" w:rsidRPr="0077566E">
              <w:rPr>
                <w:sz w:val="24"/>
                <w:szCs w:val="24"/>
                <w:lang w:eastAsia="ru-RU"/>
              </w:rPr>
              <w:t>акта</w:t>
            </w:r>
            <w:r w:rsidR="0077566E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100172" w:rsidRPr="0077566E" w:rsidRDefault="0010017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2" w:rsidRPr="0077566E" w:rsidRDefault="00F758B3" w:rsidP="004E3442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Оцінка 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вибраних альтернативних способів досягнення цілей</w:t>
      </w:r>
    </w:p>
    <w:p w:rsidR="008F19D2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40AB7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Оцінка впливу на сферу інтересів держави </w:t>
      </w:r>
    </w:p>
    <w:p w:rsidR="00251483" w:rsidRPr="0077566E" w:rsidRDefault="00251483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263"/>
        <w:gridCol w:w="3828"/>
        <w:gridCol w:w="3827"/>
      </w:tblGrid>
      <w:tr w:rsidR="00D203B7" w:rsidRPr="0077566E" w:rsidTr="009A20D1">
        <w:tc>
          <w:tcPr>
            <w:tcW w:w="2263" w:type="dxa"/>
          </w:tcPr>
          <w:p w:rsidR="00D203B7" w:rsidRPr="0077566E" w:rsidRDefault="00D203B7" w:rsidP="00D203B7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3828" w:type="dxa"/>
          </w:tcPr>
          <w:p w:rsidR="00D203B7" w:rsidRPr="0077566E" w:rsidRDefault="00D203B7" w:rsidP="00D203B7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bCs/>
                <w:sz w:val="24"/>
                <w:szCs w:val="24"/>
                <w:lang w:eastAsia="ru-RU"/>
              </w:rPr>
              <w:t>Вигоди</w:t>
            </w:r>
          </w:p>
        </w:tc>
        <w:tc>
          <w:tcPr>
            <w:tcW w:w="3827" w:type="dxa"/>
          </w:tcPr>
          <w:p w:rsidR="00D203B7" w:rsidRPr="0077566E" w:rsidRDefault="00D203B7" w:rsidP="00D203B7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</w:tr>
      <w:tr w:rsidR="00D203B7" w:rsidRPr="0077566E" w:rsidTr="009A20D1">
        <w:tc>
          <w:tcPr>
            <w:tcW w:w="2263" w:type="dxa"/>
          </w:tcPr>
          <w:p w:rsidR="00D203B7" w:rsidRPr="0077566E" w:rsidRDefault="00D203B7" w:rsidP="00D203B7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3828" w:type="dxa"/>
          </w:tcPr>
          <w:p w:rsidR="00D203B7" w:rsidRPr="0077566E" w:rsidRDefault="005A74DD" w:rsidP="004E3442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 xml:space="preserve">Відсутність можливості виникнення соціальної напруженості </w:t>
            </w:r>
            <w:r w:rsidR="004E3442" w:rsidRPr="0077566E">
              <w:rPr>
                <w:sz w:val="24"/>
                <w:szCs w:val="24"/>
                <w:lang w:eastAsia="ru-RU"/>
              </w:rPr>
              <w:t>в</w:t>
            </w:r>
            <w:r w:rsidR="007D71DA" w:rsidRPr="0077566E">
              <w:rPr>
                <w:sz w:val="24"/>
                <w:szCs w:val="24"/>
                <w:lang w:eastAsia="ru-RU"/>
              </w:rPr>
              <w:t xml:space="preserve"> зв’язку з підвищенням тарифів</w:t>
            </w:r>
            <w:r w:rsidR="0077566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D203B7" w:rsidRPr="0077566E" w:rsidRDefault="007D6FF1" w:rsidP="004E344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Відмова перевізників від збиткового виду діяльності</w:t>
            </w:r>
            <w:r w:rsidR="007D71DA" w:rsidRPr="0077566E">
              <w:rPr>
                <w:sz w:val="24"/>
                <w:szCs w:val="24"/>
                <w:lang w:eastAsia="ru-RU"/>
              </w:rPr>
              <w:t>.</w:t>
            </w:r>
          </w:p>
          <w:p w:rsidR="00A055C0" w:rsidRPr="0077566E" w:rsidRDefault="00A055C0" w:rsidP="004E344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Зменшення кількості робочих місць.</w:t>
            </w:r>
          </w:p>
          <w:p w:rsidR="00D203B7" w:rsidRPr="0077566E" w:rsidRDefault="00D203B7" w:rsidP="007D71D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 xml:space="preserve">Зменшення </w:t>
            </w:r>
            <w:r w:rsidR="00BD2E58" w:rsidRPr="0077566E">
              <w:rPr>
                <w:sz w:val="24"/>
                <w:szCs w:val="24"/>
                <w:lang w:eastAsia="ru-RU"/>
              </w:rPr>
              <w:t xml:space="preserve">надходжень до </w:t>
            </w:r>
            <w:r w:rsidR="00A055C0" w:rsidRPr="0077566E">
              <w:rPr>
                <w:sz w:val="24"/>
                <w:szCs w:val="24"/>
                <w:lang w:eastAsia="ru-RU"/>
              </w:rPr>
              <w:t>державного та місцев</w:t>
            </w:r>
            <w:r w:rsidR="007D71DA" w:rsidRPr="0077566E">
              <w:rPr>
                <w:sz w:val="24"/>
                <w:szCs w:val="24"/>
                <w:lang w:eastAsia="ru-RU"/>
              </w:rPr>
              <w:t>ого</w:t>
            </w:r>
            <w:r w:rsidR="00A055C0" w:rsidRPr="0077566E">
              <w:rPr>
                <w:sz w:val="24"/>
                <w:szCs w:val="24"/>
                <w:lang w:eastAsia="ru-RU"/>
              </w:rPr>
              <w:t xml:space="preserve"> </w:t>
            </w:r>
            <w:r w:rsidRPr="0077566E">
              <w:rPr>
                <w:sz w:val="24"/>
                <w:szCs w:val="24"/>
                <w:lang w:eastAsia="ru-RU"/>
              </w:rPr>
              <w:t>бюджет</w:t>
            </w:r>
            <w:r w:rsidR="00A055C0" w:rsidRPr="0077566E">
              <w:rPr>
                <w:sz w:val="24"/>
                <w:szCs w:val="24"/>
                <w:lang w:eastAsia="ru-RU"/>
              </w:rPr>
              <w:t>ів</w:t>
            </w:r>
            <w:r w:rsidR="005A55D3" w:rsidRPr="0077566E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BD2E58" w:rsidRPr="0077566E" w:rsidTr="009A20D1">
        <w:tc>
          <w:tcPr>
            <w:tcW w:w="2263" w:type="dxa"/>
          </w:tcPr>
          <w:p w:rsidR="00BD2E58" w:rsidRPr="0077566E" w:rsidRDefault="00BD2E58" w:rsidP="00BD2E58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3828" w:type="dxa"/>
          </w:tcPr>
          <w:p w:rsidR="00BD2E58" w:rsidRPr="0077566E" w:rsidRDefault="00EB6221" w:rsidP="004E3442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Відсутність можливості виникнення соціальної напруженості в</w:t>
            </w:r>
            <w:r w:rsidR="007D71DA" w:rsidRPr="0077566E">
              <w:rPr>
                <w:sz w:val="24"/>
                <w:szCs w:val="24"/>
                <w:lang w:eastAsia="ru-RU"/>
              </w:rPr>
              <w:t xml:space="preserve"> зв’язку з підвищенням тарифів</w:t>
            </w:r>
            <w:r w:rsidR="0077566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BD2E58" w:rsidRPr="0077566E" w:rsidRDefault="009629EC" w:rsidP="004E3442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 xml:space="preserve">Додаткове навантаження на </w:t>
            </w:r>
            <w:r w:rsidR="007D71DA" w:rsidRPr="0077566E">
              <w:rPr>
                <w:bCs/>
                <w:sz w:val="24"/>
                <w:szCs w:val="24"/>
                <w:lang w:eastAsia="ru-RU"/>
              </w:rPr>
              <w:t>бюджет</w:t>
            </w:r>
            <w:r w:rsidR="00D15708">
              <w:rPr>
                <w:bCs/>
                <w:sz w:val="24"/>
                <w:szCs w:val="24"/>
                <w:lang w:eastAsia="ru-RU"/>
              </w:rPr>
              <w:t xml:space="preserve"> ВМТГ</w:t>
            </w:r>
            <w:r w:rsidR="0077566E">
              <w:rPr>
                <w:bCs/>
                <w:sz w:val="24"/>
                <w:szCs w:val="24"/>
                <w:lang w:eastAsia="ru-RU"/>
              </w:rPr>
              <w:t>.</w:t>
            </w:r>
          </w:p>
          <w:p w:rsidR="002775EF" w:rsidRPr="0077566E" w:rsidRDefault="002775EF" w:rsidP="004E3442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BD2E58" w:rsidRPr="0077566E" w:rsidTr="009A20D1">
        <w:tc>
          <w:tcPr>
            <w:tcW w:w="2263" w:type="dxa"/>
          </w:tcPr>
          <w:p w:rsidR="00BD2E58" w:rsidRPr="0077566E" w:rsidRDefault="00BD2E58" w:rsidP="00BD2E58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3828" w:type="dxa"/>
          </w:tcPr>
          <w:p w:rsidR="007D6FF1" w:rsidRPr="0077566E" w:rsidRDefault="007D6FF1" w:rsidP="004E344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Вирішення питання щодо якісного надання послуг з перевезення пасажирів.</w:t>
            </w:r>
          </w:p>
          <w:p w:rsidR="001C3781" w:rsidRPr="0077566E" w:rsidRDefault="00624D3B" w:rsidP="004E344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Збереження робочих м</w:t>
            </w:r>
            <w:r w:rsidR="007D71DA" w:rsidRPr="0077566E">
              <w:rPr>
                <w:sz w:val="24"/>
                <w:szCs w:val="24"/>
                <w:lang w:eastAsia="ru-RU"/>
              </w:rPr>
              <w:t>ісць</w:t>
            </w:r>
            <w:r w:rsidR="0077566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BD2E58" w:rsidRPr="0077566E" w:rsidRDefault="00624D3B" w:rsidP="004E344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Незадоволеність громадян</w:t>
            </w:r>
            <w:r w:rsidR="00B360B0" w:rsidRPr="0077566E">
              <w:rPr>
                <w:sz w:val="24"/>
                <w:szCs w:val="24"/>
                <w:lang w:eastAsia="ru-RU"/>
              </w:rPr>
              <w:t xml:space="preserve"> </w:t>
            </w:r>
            <w:r w:rsidRPr="0077566E">
              <w:rPr>
                <w:sz w:val="24"/>
                <w:szCs w:val="24"/>
                <w:lang w:eastAsia="ru-RU"/>
              </w:rPr>
              <w:t>підвищенням тарифів</w:t>
            </w:r>
            <w:r w:rsidR="0077566E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D203B7" w:rsidRPr="0077566E" w:rsidRDefault="00D203B7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B1A" w:rsidRPr="0077566E" w:rsidRDefault="005F7B1A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B1A" w:rsidRPr="0077566E" w:rsidRDefault="005F7B1A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B1A" w:rsidRPr="0077566E" w:rsidRDefault="005F7B1A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AB7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Оцінка впливу на сферу інтересів громадян</w:t>
      </w:r>
    </w:p>
    <w:p w:rsidR="00251483" w:rsidRPr="0077566E" w:rsidRDefault="00251483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263"/>
        <w:gridCol w:w="3544"/>
        <w:gridCol w:w="4111"/>
      </w:tblGrid>
      <w:tr w:rsidR="000F6EAA" w:rsidRPr="0077566E" w:rsidTr="009A20D1">
        <w:tc>
          <w:tcPr>
            <w:tcW w:w="2263" w:type="dxa"/>
          </w:tcPr>
          <w:p w:rsidR="000F6EAA" w:rsidRPr="0077566E" w:rsidRDefault="000F6EAA" w:rsidP="001930C0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3544" w:type="dxa"/>
          </w:tcPr>
          <w:p w:rsidR="000F6EAA" w:rsidRPr="0077566E" w:rsidRDefault="000F6EAA" w:rsidP="001930C0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bCs/>
                <w:sz w:val="24"/>
                <w:szCs w:val="24"/>
                <w:lang w:eastAsia="ru-RU"/>
              </w:rPr>
              <w:t>Вигоди</w:t>
            </w:r>
          </w:p>
        </w:tc>
        <w:tc>
          <w:tcPr>
            <w:tcW w:w="4111" w:type="dxa"/>
          </w:tcPr>
          <w:p w:rsidR="000F6EAA" w:rsidRPr="0077566E" w:rsidRDefault="000F6EAA" w:rsidP="001930C0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</w:tr>
      <w:tr w:rsidR="000F6EAA" w:rsidRPr="0077566E" w:rsidTr="009A20D1">
        <w:tc>
          <w:tcPr>
            <w:tcW w:w="2263" w:type="dxa"/>
          </w:tcPr>
          <w:p w:rsidR="000F6EAA" w:rsidRPr="0077566E" w:rsidRDefault="000F6EAA" w:rsidP="001930C0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3544" w:type="dxa"/>
          </w:tcPr>
          <w:p w:rsidR="000F6EAA" w:rsidRPr="0077566E" w:rsidRDefault="000F6EAA" w:rsidP="00622650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Витрати на проїзд залишаться незмінними</w:t>
            </w:r>
            <w:r w:rsidR="0077566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0F6EAA" w:rsidRPr="0077566E" w:rsidRDefault="000F6EAA" w:rsidP="00622650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Погіршення технічного стану транспортних засобів.</w:t>
            </w:r>
          </w:p>
          <w:p w:rsidR="000F6EAA" w:rsidRPr="0077566E" w:rsidRDefault="000F6EAA" w:rsidP="00622650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 xml:space="preserve">Зменшення кількості рейсів </w:t>
            </w:r>
            <w:r w:rsidR="001C3781" w:rsidRPr="0077566E">
              <w:rPr>
                <w:sz w:val="24"/>
                <w:szCs w:val="24"/>
                <w:lang w:eastAsia="ru-RU"/>
              </w:rPr>
              <w:t>в</w:t>
            </w:r>
            <w:r w:rsidRPr="0077566E">
              <w:rPr>
                <w:sz w:val="24"/>
                <w:szCs w:val="24"/>
                <w:lang w:eastAsia="ru-RU"/>
              </w:rPr>
              <w:t xml:space="preserve"> зв’язку з відсутністю можливості забезпечувати належне обслугову</w:t>
            </w:r>
            <w:r w:rsidR="002A167C" w:rsidRPr="0077566E">
              <w:rPr>
                <w:sz w:val="24"/>
                <w:szCs w:val="24"/>
                <w:lang w:eastAsia="ru-RU"/>
              </w:rPr>
              <w:softHyphen/>
            </w:r>
            <w:r w:rsidRPr="0077566E">
              <w:rPr>
                <w:sz w:val="24"/>
                <w:szCs w:val="24"/>
                <w:lang w:eastAsia="ru-RU"/>
              </w:rPr>
              <w:t>вання транспортних засобів.</w:t>
            </w:r>
          </w:p>
          <w:p w:rsidR="000F6EAA" w:rsidRPr="0077566E" w:rsidRDefault="000F6EAA" w:rsidP="00622650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Погіршення якості перевезень.</w:t>
            </w:r>
          </w:p>
        </w:tc>
      </w:tr>
      <w:tr w:rsidR="000F6EAA" w:rsidRPr="0077566E" w:rsidTr="009A20D1">
        <w:tc>
          <w:tcPr>
            <w:tcW w:w="2263" w:type="dxa"/>
          </w:tcPr>
          <w:p w:rsidR="000F6EAA" w:rsidRPr="0077566E" w:rsidRDefault="000F6EAA" w:rsidP="001930C0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3544" w:type="dxa"/>
          </w:tcPr>
          <w:p w:rsidR="000F6EAA" w:rsidRPr="0077566E" w:rsidRDefault="00B360B0" w:rsidP="00622650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 xml:space="preserve">Витрати </w:t>
            </w:r>
            <w:r w:rsidR="007D71DA" w:rsidRPr="0077566E">
              <w:rPr>
                <w:sz w:val="24"/>
                <w:szCs w:val="24"/>
                <w:lang w:eastAsia="ru-RU"/>
              </w:rPr>
              <w:t>на проїзд залишаться незмінними</w:t>
            </w:r>
            <w:r w:rsidR="0077566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0F6EAA" w:rsidRPr="0077566E" w:rsidRDefault="001C3781" w:rsidP="001C3781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 xml:space="preserve">Недофінансування з бюджету </w:t>
            </w:r>
            <w:r w:rsidR="004C090A">
              <w:rPr>
                <w:bCs/>
                <w:sz w:val="24"/>
                <w:szCs w:val="24"/>
                <w:lang w:eastAsia="ru-RU"/>
              </w:rPr>
              <w:t xml:space="preserve">ВМТГ </w:t>
            </w:r>
            <w:r w:rsidR="007D6FF1" w:rsidRPr="0077566E">
              <w:rPr>
                <w:bCs/>
                <w:sz w:val="24"/>
                <w:szCs w:val="24"/>
                <w:lang w:eastAsia="ru-RU"/>
              </w:rPr>
              <w:t>об’єктів</w:t>
            </w:r>
            <w:r w:rsidRPr="0077566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2A167C" w:rsidRPr="0077566E">
              <w:rPr>
                <w:bCs/>
                <w:sz w:val="24"/>
                <w:szCs w:val="24"/>
                <w:lang w:eastAsia="ru-RU"/>
              </w:rPr>
              <w:t xml:space="preserve">житлово-комунального господарства та </w:t>
            </w:r>
            <w:r w:rsidRPr="0077566E">
              <w:rPr>
                <w:bCs/>
                <w:sz w:val="24"/>
                <w:szCs w:val="24"/>
                <w:lang w:eastAsia="ru-RU"/>
              </w:rPr>
              <w:t xml:space="preserve">соціально-культурної сфери </w:t>
            </w:r>
            <w:r w:rsidR="007D6FF1" w:rsidRPr="0077566E">
              <w:rPr>
                <w:bCs/>
                <w:sz w:val="24"/>
                <w:szCs w:val="24"/>
                <w:lang w:eastAsia="ru-RU"/>
              </w:rPr>
              <w:t>(закладів охорони здоров’я, освіти, культури тощо)</w:t>
            </w:r>
            <w:r w:rsidR="0077566E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F6EAA" w:rsidRPr="0077566E" w:rsidTr="009A20D1">
        <w:tc>
          <w:tcPr>
            <w:tcW w:w="2263" w:type="dxa"/>
          </w:tcPr>
          <w:p w:rsidR="000F6EAA" w:rsidRPr="0077566E" w:rsidRDefault="000F6EAA" w:rsidP="001930C0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3544" w:type="dxa"/>
          </w:tcPr>
          <w:p w:rsidR="000F6EAA" w:rsidRPr="0077566E" w:rsidRDefault="00C24A7E" w:rsidP="007D6FF1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Підвищення яко</w:t>
            </w:r>
            <w:r w:rsidR="007D6FF1" w:rsidRPr="0077566E">
              <w:rPr>
                <w:sz w:val="24"/>
                <w:szCs w:val="24"/>
                <w:lang w:eastAsia="ru-RU"/>
              </w:rPr>
              <w:t>сті надання транспортних послуг (поліпшення технічного стану транспортних засобів, підвищення регулярності руху)</w:t>
            </w:r>
            <w:r w:rsidR="0077566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0F6EAA" w:rsidRPr="0077566E" w:rsidRDefault="000F6EAA" w:rsidP="00622650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Збільшення витрат гр</w:t>
            </w:r>
            <w:r w:rsidR="007D71DA" w:rsidRPr="0077566E">
              <w:rPr>
                <w:sz w:val="24"/>
                <w:szCs w:val="24"/>
                <w:lang w:eastAsia="ru-RU"/>
              </w:rPr>
              <w:t xml:space="preserve">омадян </w:t>
            </w:r>
            <w:r w:rsidR="0077566E">
              <w:rPr>
                <w:sz w:val="24"/>
                <w:szCs w:val="24"/>
                <w:lang w:eastAsia="ru-RU"/>
              </w:rPr>
              <w:t>н</w:t>
            </w:r>
            <w:r w:rsidR="007D71DA" w:rsidRPr="0077566E">
              <w:rPr>
                <w:sz w:val="24"/>
                <w:szCs w:val="24"/>
                <w:lang w:eastAsia="ru-RU"/>
              </w:rPr>
              <w:t>а транспортні послуги</w:t>
            </w:r>
            <w:r w:rsidR="0077566E">
              <w:rPr>
                <w:sz w:val="24"/>
                <w:szCs w:val="24"/>
                <w:lang w:eastAsia="ru-RU"/>
              </w:rPr>
              <w:t>.</w:t>
            </w:r>
          </w:p>
          <w:p w:rsidR="000F6EAA" w:rsidRPr="0077566E" w:rsidRDefault="000F6EAA" w:rsidP="00622650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6C6172" w:rsidRPr="0077566E" w:rsidRDefault="006C617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bookmark3"/>
    </w:p>
    <w:p w:rsidR="008F19D2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 впливу на сферу інтересів суб’єктів господарювання</w:t>
      </w:r>
      <w:bookmarkEnd w:id="3"/>
    </w:p>
    <w:p w:rsidR="00251483" w:rsidRPr="0077566E" w:rsidRDefault="00251483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1270"/>
        <w:gridCol w:w="1270"/>
        <w:gridCol w:w="1270"/>
        <w:gridCol w:w="1270"/>
        <w:gridCol w:w="1271"/>
      </w:tblGrid>
      <w:tr w:rsidR="00B90A40" w:rsidRPr="0077566E" w:rsidTr="007D6FF1">
        <w:tc>
          <w:tcPr>
            <w:tcW w:w="3539" w:type="dxa"/>
          </w:tcPr>
          <w:p w:rsidR="00B90A40" w:rsidRPr="0077566E" w:rsidRDefault="00B90A40" w:rsidP="00B90A40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1270" w:type="dxa"/>
          </w:tcPr>
          <w:p w:rsidR="00B90A40" w:rsidRPr="0077566E" w:rsidRDefault="00B90A40" w:rsidP="00B90A40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Великі</w:t>
            </w:r>
          </w:p>
        </w:tc>
        <w:tc>
          <w:tcPr>
            <w:tcW w:w="1270" w:type="dxa"/>
          </w:tcPr>
          <w:p w:rsidR="00B90A40" w:rsidRPr="0077566E" w:rsidRDefault="00B90A40" w:rsidP="00B90A40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Середні</w:t>
            </w:r>
          </w:p>
        </w:tc>
        <w:tc>
          <w:tcPr>
            <w:tcW w:w="1270" w:type="dxa"/>
          </w:tcPr>
          <w:p w:rsidR="00B90A40" w:rsidRPr="0077566E" w:rsidRDefault="00B90A40" w:rsidP="00B90A40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Малі</w:t>
            </w:r>
          </w:p>
        </w:tc>
        <w:tc>
          <w:tcPr>
            <w:tcW w:w="1270" w:type="dxa"/>
          </w:tcPr>
          <w:p w:rsidR="00B90A40" w:rsidRPr="0077566E" w:rsidRDefault="00B90A40" w:rsidP="00B90A40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Мікро</w:t>
            </w:r>
          </w:p>
        </w:tc>
        <w:tc>
          <w:tcPr>
            <w:tcW w:w="1271" w:type="dxa"/>
          </w:tcPr>
          <w:p w:rsidR="00B90A40" w:rsidRPr="0077566E" w:rsidRDefault="00B90A40" w:rsidP="00B90A40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</w:tr>
      <w:tr w:rsidR="00CA6C05" w:rsidRPr="0077566E" w:rsidTr="007D6FF1">
        <w:tc>
          <w:tcPr>
            <w:tcW w:w="3539" w:type="dxa"/>
          </w:tcPr>
          <w:p w:rsidR="00CA6C05" w:rsidRPr="0077566E" w:rsidRDefault="00CA6C05" w:rsidP="00CA6C05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Кількість  суб’єктів господарювання, що підпадають під дію регулювання, одиниць</w:t>
            </w:r>
          </w:p>
        </w:tc>
        <w:tc>
          <w:tcPr>
            <w:tcW w:w="1270" w:type="dxa"/>
          </w:tcPr>
          <w:p w:rsidR="00CA6C05" w:rsidRPr="0077566E" w:rsidRDefault="00CA6C05" w:rsidP="00CA6C0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CA6C05" w:rsidRPr="0077566E" w:rsidRDefault="00CA6C05" w:rsidP="00CA6C0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-</w:t>
            </w:r>
          </w:p>
          <w:p w:rsidR="00CA6C05" w:rsidRPr="0077566E" w:rsidRDefault="00CA6C05" w:rsidP="00CA6C0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CA6C05" w:rsidRPr="0077566E" w:rsidRDefault="00CA6C05" w:rsidP="00CA6C0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CA6C05" w:rsidRPr="0077566E" w:rsidRDefault="00CA6C05" w:rsidP="00CA6C05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</w:tcPr>
          <w:p w:rsidR="00CA6C05" w:rsidRPr="0077566E" w:rsidRDefault="00CA6C05" w:rsidP="00CA6C0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CA6C05" w:rsidRPr="0077566E" w:rsidRDefault="00AC193D" w:rsidP="00CA6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CA6C05" w:rsidRPr="0077566E" w:rsidRDefault="00CA6C05" w:rsidP="00CA6C05">
            <w:pPr>
              <w:ind w:firstLine="0"/>
              <w:rPr>
                <w:sz w:val="24"/>
                <w:szCs w:val="24"/>
              </w:rPr>
            </w:pPr>
          </w:p>
          <w:p w:rsidR="00CA6C05" w:rsidRPr="0077566E" w:rsidRDefault="00D76FF2" w:rsidP="00AC193D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</w:rPr>
              <w:t>9</w:t>
            </w:r>
            <w:r w:rsidR="00AC193D">
              <w:rPr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 w:rsidR="00CA6C05" w:rsidRPr="0077566E" w:rsidRDefault="00CA6C05" w:rsidP="00CA6C05">
            <w:pPr>
              <w:jc w:val="left"/>
              <w:rPr>
                <w:sz w:val="24"/>
                <w:szCs w:val="24"/>
                <w:lang w:eastAsia="ru-RU"/>
              </w:rPr>
            </w:pPr>
          </w:p>
          <w:p w:rsidR="00CA6C05" w:rsidRPr="0077566E" w:rsidRDefault="00D76FF2" w:rsidP="005C6880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10</w:t>
            </w:r>
            <w:r w:rsidR="005C6880" w:rsidRPr="0077566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A6C05" w:rsidRPr="0077566E" w:rsidTr="005F7B1A">
        <w:tc>
          <w:tcPr>
            <w:tcW w:w="3539" w:type="dxa"/>
            <w:vAlign w:val="center"/>
          </w:tcPr>
          <w:p w:rsidR="00CA6C05" w:rsidRPr="0077566E" w:rsidRDefault="00CA6C05" w:rsidP="005F7B1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Питома вага групи у загальній кількості, відсотків</w:t>
            </w:r>
          </w:p>
        </w:tc>
        <w:tc>
          <w:tcPr>
            <w:tcW w:w="1270" w:type="dxa"/>
          </w:tcPr>
          <w:p w:rsidR="00CA6C05" w:rsidRPr="0077566E" w:rsidRDefault="00CA6C05" w:rsidP="00CA6C0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CA6C05" w:rsidRPr="0077566E" w:rsidRDefault="00CA6C05" w:rsidP="00CA6C0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-</w:t>
            </w:r>
          </w:p>
          <w:p w:rsidR="00CA6C05" w:rsidRPr="0077566E" w:rsidRDefault="00CA6C05" w:rsidP="00CA6C0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CA6C05" w:rsidRPr="0077566E" w:rsidRDefault="00CA6C05" w:rsidP="00CA6C0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CA6C05" w:rsidRPr="0077566E" w:rsidRDefault="00CA6C05" w:rsidP="00CA6C05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</w:tcPr>
          <w:p w:rsidR="00CA6C05" w:rsidRPr="0077566E" w:rsidRDefault="00CA6C05" w:rsidP="00CA6C0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CA6C05" w:rsidRPr="0077566E" w:rsidRDefault="00AC193D" w:rsidP="00CA6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  <w:tc>
          <w:tcPr>
            <w:tcW w:w="1270" w:type="dxa"/>
          </w:tcPr>
          <w:p w:rsidR="00CA6C05" w:rsidRPr="0077566E" w:rsidRDefault="00CA6C05" w:rsidP="00CA6C0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A6C05" w:rsidRPr="0077566E" w:rsidRDefault="005C6880" w:rsidP="00CA6C0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9</w:t>
            </w:r>
            <w:r w:rsidR="00AC193D">
              <w:rPr>
                <w:sz w:val="24"/>
                <w:szCs w:val="24"/>
                <w:lang w:eastAsia="ru-RU"/>
              </w:rPr>
              <w:t>6,04</w:t>
            </w:r>
          </w:p>
          <w:p w:rsidR="00CA6C05" w:rsidRPr="0077566E" w:rsidRDefault="00CA6C05" w:rsidP="00CA6C0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CA6C05" w:rsidRPr="0077566E" w:rsidRDefault="00CA6C05" w:rsidP="00CA6C05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CA6C05" w:rsidRPr="0077566E" w:rsidRDefault="00CA6C05" w:rsidP="00CA6C0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B90A40" w:rsidRPr="0077566E" w:rsidRDefault="00B90A40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547"/>
        <w:gridCol w:w="3544"/>
        <w:gridCol w:w="3827"/>
      </w:tblGrid>
      <w:tr w:rsidR="009F3601" w:rsidRPr="0077566E" w:rsidTr="007D6FF1">
        <w:tc>
          <w:tcPr>
            <w:tcW w:w="2547" w:type="dxa"/>
          </w:tcPr>
          <w:p w:rsidR="009F3601" w:rsidRPr="0077566E" w:rsidRDefault="009F3601" w:rsidP="00EE0A28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3544" w:type="dxa"/>
          </w:tcPr>
          <w:p w:rsidR="009F3601" w:rsidRPr="0077566E" w:rsidRDefault="009F3601" w:rsidP="00EE0A28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bCs/>
                <w:sz w:val="24"/>
                <w:szCs w:val="24"/>
                <w:lang w:eastAsia="ru-RU"/>
              </w:rPr>
              <w:t>Вигоди</w:t>
            </w:r>
          </w:p>
        </w:tc>
        <w:tc>
          <w:tcPr>
            <w:tcW w:w="3827" w:type="dxa"/>
          </w:tcPr>
          <w:p w:rsidR="009F3601" w:rsidRPr="0077566E" w:rsidRDefault="009F3601" w:rsidP="00EE0A28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</w:tr>
      <w:tr w:rsidR="009F3601" w:rsidRPr="0077566E" w:rsidTr="007D6FF1">
        <w:tc>
          <w:tcPr>
            <w:tcW w:w="2547" w:type="dxa"/>
          </w:tcPr>
          <w:p w:rsidR="009F3601" w:rsidRPr="0077566E" w:rsidRDefault="009F3601" w:rsidP="00EE0A28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3544" w:type="dxa"/>
          </w:tcPr>
          <w:p w:rsidR="009F3601" w:rsidRPr="0077566E" w:rsidRDefault="00D76FF2" w:rsidP="009F3601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Відсутні</w:t>
            </w:r>
            <w:r w:rsidR="00D1570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9F3601" w:rsidRPr="0077566E" w:rsidRDefault="009F3601" w:rsidP="00EE0A28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Погіршення технічного стану рухомого складу.</w:t>
            </w:r>
          </w:p>
          <w:p w:rsidR="009F3601" w:rsidRPr="0077566E" w:rsidRDefault="009F3601" w:rsidP="00EE0A28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Збитки від економічно необґрунтованих тарифів.</w:t>
            </w:r>
          </w:p>
          <w:p w:rsidR="009F3601" w:rsidRPr="0077566E" w:rsidRDefault="007D6FF1" w:rsidP="00EE0A28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Поступове банкрутство перевізників.</w:t>
            </w:r>
          </w:p>
        </w:tc>
      </w:tr>
      <w:tr w:rsidR="009F3601" w:rsidRPr="0077566E" w:rsidTr="007D6FF1">
        <w:tc>
          <w:tcPr>
            <w:tcW w:w="2547" w:type="dxa"/>
          </w:tcPr>
          <w:p w:rsidR="009F3601" w:rsidRPr="0077566E" w:rsidRDefault="009F3601" w:rsidP="00EE0A28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3544" w:type="dxa"/>
          </w:tcPr>
          <w:p w:rsidR="009F3601" w:rsidRPr="0077566E" w:rsidRDefault="00CA27C7" w:rsidP="002A167C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 xml:space="preserve">Можливість ведення беззбиткової діяльності за умови наявності коштів у </w:t>
            </w:r>
            <w:r w:rsidR="00D76FF2" w:rsidRPr="0077566E">
              <w:rPr>
                <w:bCs/>
                <w:sz w:val="24"/>
                <w:szCs w:val="24"/>
                <w:lang w:eastAsia="ru-RU"/>
              </w:rPr>
              <w:t>бюджеті</w:t>
            </w:r>
            <w:r w:rsidR="00D15708">
              <w:rPr>
                <w:bCs/>
                <w:sz w:val="24"/>
                <w:szCs w:val="24"/>
                <w:lang w:eastAsia="ru-RU"/>
              </w:rPr>
              <w:t xml:space="preserve"> ВМТГ.</w:t>
            </w:r>
          </w:p>
        </w:tc>
        <w:tc>
          <w:tcPr>
            <w:tcW w:w="3827" w:type="dxa"/>
          </w:tcPr>
          <w:p w:rsidR="009F3601" w:rsidRPr="0077566E" w:rsidRDefault="00CA27C7" w:rsidP="00F45E50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 xml:space="preserve">Ризик </w:t>
            </w:r>
            <w:r w:rsidR="00F45E50" w:rsidRPr="0077566E">
              <w:rPr>
                <w:bCs/>
                <w:sz w:val="24"/>
                <w:szCs w:val="24"/>
                <w:lang w:eastAsia="ru-RU"/>
              </w:rPr>
              <w:t xml:space="preserve">недоотримання </w:t>
            </w:r>
            <w:r w:rsidRPr="0077566E">
              <w:rPr>
                <w:sz w:val="24"/>
                <w:szCs w:val="24"/>
                <w:lang w:eastAsia="ru-RU"/>
              </w:rPr>
              <w:t xml:space="preserve">компенсації на покриття збитків </w:t>
            </w:r>
            <w:r w:rsidR="002A167C" w:rsidRPr="0077566E">
              <w:rPr>
                <w:sz w:val="24"/>
                <w:szCs w:val="24"/>
                <w:lang w:eastAsia="ru-RU"/>
              </w:rPr>
              <w:t>в</w:t>
            </w:r>
            <w:r w:rsidRPr="0077566E">
              <w:rPr>
                <w:sz w:val="24"/>
                <w:szCs w:val="24"/>
                <w:lang w:eastAsia="ru-RU"/>
              </w:rPr>
              <w:t xml:space="preserve"> зв’язку з дефіцитом коштів у </w:t>
            </w:r>
            <w:r w:rsidR="00D76FF2" w:rsidRPr="0077566E">
              <w:rPr>
                <w:sz w:val="24"/>
                <w:szCs w:val="24"/>
                <w:lang w:eastAsia="ru-RU"/>
              </w:rPr>
              <w:t>бюджеті</w:t>
            </w:r>
            <w:r w:rsidR="00D15708">
              <w:rPr>
                <w:sz w:val="24"/>
                <w:szCs w:val="24"/>
                <w:lang w:eastAsia="ru-RU"/>
              </w:rPr>
              <w:t xml:space="preserve"> ВМТГ.</w:t>
            </w:r>
          </w:p>
        </w:tc>
      </w:tr>
      <w:tr w:rsidR="009F3601" w:rsidRPr="0077566E" w:rsidTr="007D6FF1">
        <w:tc>
          <w:tcPr>
            <w:tcW w:w="2547" w:type="dxa"/>
          </w:tcPr>
          <w:p w:rsidR="009F3601" w:rsidRPr="0077566E" w:rsidRDefault="009F3601" w:rsidP="00EE0A28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3544" w:type="dxa"/>
          </w:tcPr>
          <w:p w:rsidR="009F3601" w:rsidRPr="0077566E" w:rsidRDefault="001C0012" w:rsidP="001B7B4E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 xml:space="preserve">Можливість </w:t>
            </w:r>
            <w:r w:rsidR="00D76FF2" w:rsidRPr="0077566E">
              <w:rPr>
                <w:bCs/>
                <w:sz w:val="24"/>
                <w:szCs w:val="24"/>
                <w:lang w:eastAsia="ru-RU"/>
              </w:rPr>
              <w:t xml:space="preserve">ведення беззбиткової діяльності. </w:t>
            </w:r>
            <w:r w:rsidR="001B7B4E" w:rsidRPr="0077566E">
              <w:rPr>
                <w:bCs/>
                <w:sz w:val="24"/>
                <w:szCs w:val="24"/>
                <w:lang w:eastAsia="ru-RU"/>
              </w:rPr>
              <w:t>Надання послуг на</w:t>
            </w:r>
            <w:r w:rsidR="00D76FF2" w:rsidRPr="0077566E">
              <w:rPr>
                <w:bCs/>
                <w:sz w:val="24"/>
                <w:szCs w:val="24"/>
                <w:lang w:eastAsia="ru-RU"/>
              </w:rPr>
              <w:t xml:space="preserve"> належному </w:t>
            </w:r>
            <w:r w:rsidR="001B7B4E" w:rsidRPr="0077566E">
              <w:rPr>
                <w:bCs/>
                <w:sz w:val="24"/>
                <w:szCs w:val="24"/>
                <w:lang w:eastAsia="ru-RU"/>
              </w:rPr>
              <w:t>рівні.</w:t>
            </w:r>
          </w:p>
        </w:tc>
        <w:tc>
          <w:tcPr>
            <w:tcW w:w="3827" w:type="dxa"/>
          </w:tcPr>
          <w:p w:rsidR="009F3601" w:rsidRPr="0077566E" w:rsidRDefault="002A167C" w:rsidP="00EE0A28">
            <w:pPr>
              <w:ind w:firstLine="0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Відсутн</w:t>
            </w:r>
            <w:r w:rsidR="00D76FF2" w:rsidRPr="0077566E">
              <w:rPr>
                <w:bCs/>
                <w:sz w:val="24"/>
                <w:szCs w:val="24"/>
                <w:lang w:eastAsia="ru-RU"/>
              </w:rPr>
              <w:t>і</w:t>
            </w:r>
            <w:r w:rsidR="00D15708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1E7411" w:rsidRPr="0077566E" w:rsidRDefault="001E7411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1A" w:rsidRPr="0077566E" w:rsidRDefault="005F7B1A" w:rsidP="00F45E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B1A" w:rsidRPr="0077566E" w:rsidRDefault="005F7B1A" w:rsidP="00F45E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9D2" w:rsidRPr="0077566E" w:rsidRDefault="008F19D2" w:rsidP="00F45E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IV. Вибір найбільш оптимального альтернативного способу</w:t>
      </w:r>
      <w:r w:rsidR="00821D98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досягнення цілей</w:t>
      </w:r>
    </w:p>
    <w:p w:rsidR="006C6172" w:rsidRPr="0077566E" w:rsidRDefault="006C617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547"/>
        <w:gridCol w:w="2409"/>
        <w:gridCol w:w="4962"/>
      </w:tblGrid>
      <w:tr w:rsidR="00ED5F6A" w:rsidRPr="0077566E" w:rsidTr="002A167C">
        <w:tc>
          <w:tcPr>
            <w:tcW w:w="2547" w:type="dxa"/>
          </w:tcPr>
          <w:p w:rsidR="00ED5F6A" w:rsidRPr="0077566E" w:rsidRDefault="00ED5F6A" w:rsidP="00EE0A28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409" w:type="dxa"/>
          </w:tcPr>
          <w:p w:rsidR="00ED5F6A" w:rsidRPr="0077566E" w:rsidRDefault="00ED5F6A" w:rsidP="00EE0A28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Бал результативності (за чотирибальною системою оцінки)</w:t>
            </w:r>
          </w:p>
        </w:tc>
        <w:tc>
          <w:tcPr>
            <w:tcW w:w="4962" w:type="dxa"/>
          </w:tcPr>
          <w:p w:rsidR="002A167C" w:rsidRPr="0077566E" w:rsidRDefault="00ED5F6A" w:rsidP="00EE0A28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 xml:space="preserve">Коментарі щодо присвоєння </w:t>
            </w:r>
          </w:p>
          <w:p w:rsidR="00ED5F6A" w:rsidRPr="0077566E" w:rsidRDefault="00ED5F6A" w:rsidP="00EE0A28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відповідного балу</w:t>
            </w:r>
          </w:p>
        </w:tc>
      </w:tr>
      <w:tr w:rsidR="00ED5F6A" w:rsidRPr="0077566E" w:rsidTr="002A167C">
        <w:tc>
          <w:tcPr>
            <w:tcW w:w="2547" w:type="dxa"/>
          </w:tcPr>
          <w:p w:rsidR="00ED5F6A" w:rsidRPr="0077566E" w:rsidRDefault="00ED5F6A" w:rsidP="00EE0A28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2409" w:type="dxa"/>
          </w:tcPr>
          <w:p w:rsidR="00ED5F6A" w:rsidRPr="0077566E" w:rsidRDefault="00ED5F6A" w:rsidP="00ED5F6A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ED5F6A" w:rsidRPr="0077566E" w:rsidRDefault="00847B6B" w:rsidP="00EE0A28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Погіршення якості послуг</w:t>
            </w:r>
            <w:r w:rsidR="002A167C" w:rsidRPr="0077566E">
              <w:rPr>
                <w:sz w:val="24"/>
                <w:szCs w:val="24"/>
                <w:lang w:eastAsia="ru-RU"/>
              </w:rPr>
              <w:t xml:space="preserve"> з перевезення пасажирів</w:t>
            </w:r>
            <w:r w:rsidRPr="0077566E">
              <w:rPr>
                <w:sz w:val="24"/>
                <w:szCs w:val="24"/>
                <w:lang w:eastAsia="ru-RU"/>
              </w:rPr>
              <w:t>.</w:t>
            </w:r>
          </w:p>
          <w:p w:rsidR="00847B6B" w:rsidRPr="0077566E" w:rsidRDefault="002A167C" w:rsidP="00E43AC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Відмова перевізників від збиткового виду діяльності</w:t>
            </w:r>
            <w:r w:rsidR="00E43AC1" w:rsidRPr="0077566E">
              <w:rPr>
                <w:sz w:val="24"/>
                <w:szCs w:val="24"/>
                <w:lang w:eastAsia="ru-RU"/>
              </w:rPr>
              <w:t xml:space="preserve"> </w:t>
            </w:r>
            <w:r w:rsidRPr="0077566E">
              <w:rPr>
                <w:sz w:val="24"/>
                <w:szCs w:val="24"/>
                <w:lang w:eastAsia="ru-RU"/>
              </w:rPr>
              <w:t>та</w:t>
            </w:r>
            <w:r w:rsidR="00E43AC1" w:rsidRPr="0077566E">
              <w:rPr>
                <w:sz w:val="24"/>
                <w:szCs w:val="24"/>
                <w:lang w:eastAsia="ru-RU"/>
              </w:rPr>
              <w:t>,</w:t>
            </w:r>
            <w:r w:rsidRPr="0077566E">
              <w:rPr>
                <w:sz w:val="24"/>
                <w:szCs w:val="24"/>
                <w:lang w:eastAsia="ru-RU"/>
              </w:rPr>
              <w:t xml:space="preserve"> </w:t>
            </w:r>
            <w:r w:rsidR="00847B6B" w:rsidRPr="0077566E">
              <w:rPr>
                <w:sz w:val="24"/>
                <w:szCs w:val="24"/>
                <w:lang w:eastAsia="ru-RU"/>
              </w:rPr>
              <w:t>як наслідок</w:t>
            </w:r>
            <w:r w:rsidRPr="0077566E">
              <w:rPr>
                <w:sz w:val="24"/>
                <w:szCs w:val="24"/>
                <w:lang w:eastAsia="ru-RU"/>
              </w:rPr>
              <w:t>,</w:t>
            </w:r>
            <w:r w:rsidR="00847B6B" w:rsidRPr="0077566E">
              <w:rPr>
                <w:sz w:val="24"/>
                <w:szCs w:val="24"/>
                <w:lang w:eastAsia="ru-RU"/>
              </w:rPr>
              <w:t xml:space="preserve"> виникнення соціальної напруженості через зменшення кількості рейсів.</w:t>
            </w:r>
          </w:p>
        </w:tc>
      </w:tr>
      <w:tr w:rsidR="00ED5F6A" w:rsidRPr="0077566E" w:rsidTr="002A167C">
        <w:tc>
          <w:tcPr>
            <w:tcW w:w="2547" w:type="dxa"/>
          </w:tcPr>
          <w:p w:rsidR="00ED5F6A" w:rsidRPr="0077566E" w:rsidRDefault="00ED5F6A" w:rsidP="00EE0A28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2409" w:type="dxa"/>
          </w:tcPr>
          <w:p w:rsidR="00ED5F6A" w:rsidRPr="0077566E" w:rsidRDefault="00ED5F6A" w:rsidP="00ED5F6A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</w:tcPr>
          <w:p w:rsidR="00ED5F6A" w:rsidRPr="0077566E" w:rsidRDefault="00E71D0A" w:rsidP="002A167C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Навантаження на бю</w:t>
            </w:r>
            <w:r w:rsidR="00F3083F" w:rsidRPr="0077566E">
              <w:rPr>
                <w:sz w:val="24"/>
                <w:szCs w:val="24"/>
                <w:lang w:eastAsia="ru-RU"/>
              </w:rPr>
              <w:t xml:space="preserve">джет </w:t>
            </w:r>
            <w:r w:rsidR="00D15708">
              <w:rPr>
                <w:sz w:val="24"/>
                <w:szCs w:val="24"/>
                <w:lang w:eastAsia="ru-RU"/>
              </w:rPr>
              <w:t xml:space="preserve">ВМТГ </w:t>
            </w:r>
            <w:r w:rsidR="00F3083F" w:rsidRPr="0077566E">
              <w:rPr>
                <w:sz w:val="24"/>
                <w:szCs w:val="24"/>
                <w:lang w:eastAsia="ru-RU"/>
              </w:rPr>
              <w:t xml:space="preserve">є економічно невиправданим, оскільки ймовірний перерозподіл видатків бюджету </w:t>
            </w:r>
            <w:r w:rsidR="00D15708">
              <w:rPr>
                <w:sz w:val="24"/>
                <w:szCs w:val="24"/>
                <w:lang w:eastAsia="ru-RU"/>
              </w:rPr>
              <w:t xml:space="preserve">ВМТГ </w:t>
            </w:r>
            <w:r w:rsidR="00F3083F" w:rsidRPr="0077566E">
              <w:rPr>
                <w:sz w:val="24"/>
                <w:szCs w:val="24"/>
                <w:lang w:eastAsia="ru-RU"/>
              </w:rPr>
              <w:t>за рахунок інших галузей (освіти, медицини, житлово-комунального господарства т</w:t>
            </w:r>
            <w:r w:rsidR="002A167C" w:rsidRPr="0077566E">
              <w:rPr>
                <w:sz w:val="24"/>
                <w:szCs w:val="24"/>
                <w:lang w:eastAsia="ru-RU"/>
              </w:rPr>
              <w:t>ощо</w:t>
            </w:r>
            <w:r w:rsidR="00F3083F" w:rsidRPr="0077566E">
              <w:rPr>
                <w:sz w:val="24"/>
                <w:szCs w:val="24"/>
                <w:lang w:eastAsia="ru-RU"/>
              </w:rPr>
              <w:t>)</w:t>
            </w:r>
            <w:r w:rsidR="00E43AC1" w:rsidRPr="0077566E">
              <w:rPr>
                <w:sz w:val="24"/>
                <w:szCs w:val="24"/>
                <w:lang w:eastAsia="ru-RU"/>
              </w:rPr>
              <w:t xml:space="preserve"> призведе до соціальної напруги</w:t>
            </w:r>
            <w:r w:rsidR="00D15708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ED5F6A" w:rsidRPr="0077566E" w:rsidTr="002A167C">
        <w:tc>
          <w:tcPr>
            <w:tcW w:w="2547" w:type="dxa"/>
          </w:tcPr>
          <w:p w:rsidR="00ED5F6A" w:rsidRPr="0077566E" w:rsidRDefault="00ED5F6A" w:rsidP="00EE0A28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2409" w:type="dxa"/>
          </w:tcPr>
          <w:p w:rsidR="00ED5F6A" w:rsidRPr="0077566E" w:rsidRDefault="00ED5F6A" w:rsidP="00ED5F6A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</w:tcPr>
          <w:p w:rsidR="00ED5F6A" w:rsidRPr="0077566E" w:rsidRDefault="00BD4D61" w:rsidP="002A167C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Прийняття про</w:t>
            </w:r>
            <w:r w:rsidR="00D15708">
              <w:rPr>
                <w:bCs/>
                <w:sz w:val="24"/>
                <w:szCs w:val="24"/>
                <w:lang w:eastAsia="ru-RU"/>
              </w:rPr>
              <w:t>є</w:t>
            </w:r>
            <w:r w:rsidRPr="0077566E">
              <w:rPr>
                <w:bCs/>
                <w:sz w:val="24"/>
                <w:szCs w:val="24"/>
                <w:lang w:eastAsia="ru-RU"/>
              </w:rPr>
              <w:t>кту рішення забезпечить досягнення цілей та роз</w:t>
            </w:r>
            <w:r w:rsidR="00E43AC1" w:rsidRPr="0077566E">
              <w:rPr>
                <w:bCs/>
                <w:sz w:val="24"/>
                <w:szCs w:val="24"/>
                <w:lang w:eastAsia="ru-RU"/>
              </w:rPr>
              <w:t>в’язання вищезазначених проблем</w:t>
            </w:r>
            <w:r w:rsidR="00D15708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251483" w:rsidRPr="0077566E" w:rsidRDefault="00251483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263"/>
        <w:gridCol w:w="2551"/>
        <w:gridCol w:w="2552"/>
        <w:gridCol w:w="2552"/>
      </w:tblGrid>
      <w:tr w:rsidR="00251483" w:rsidRPr="0077566E" w:rsidTr="00386A54">
        <w:tc>
          <w:tcPr>
            <w:tcW w:w="2263" w:type="dxa"/>
          </w:tcPr>
          <w:p w:rsidR="00251483" w:rsidRPr="0077566E" w:rsidRDefault="00251483" w:rsidP="00A055C0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Рейтинг результативності</w:t>
            </w:r>
          </w:p>
        </w:tc>
        <w:tc>
          <w:tcPr>
            <w:tcW w:w="2551" w:type="dxa"/>
          </w:tcPr>
          <w:p w:rsidR="00251483" w:rsidRPr="0077566E" w:rsidRDefault="00251483" w:rsidP="00A055C0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Вигоди (підсумок)</w:t>
            </w:r>
          </w:p>
        </w:tc>
        <w:tc>
          <w:tcPr>
            <w:tcW w:w="2552" w:type="dxa"/>
          </w:tcPr>
          <w:p w:rsidR="00251483" w:rsidRPr="0077566E" w:rsidRDefault="00251483" w:rsidP="00A055C0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Витрати (підсумок)</w:t>
            </w:r>
          </w:p>
        </w:tc>
        <w:tc>
          <w:tcPr>
            <w:tcW w:w="2552" w:type="dxa"/>
          </w:tcPr>
          <w:p w:rsidR="00251483" w:rsidRPr="0077566E" w:rsidRDefault="00251483" w:rsidP="00A055C0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t>Обґрунтування відповідного місця альтернативи у рейтингу</w:t>
            </w:r>
          </w:p>
        </w:tc>
      </w:tr>
      <w:tr w:rsidR="00251483" w:rsidRPr="0077566E" w:rsidTr="00386A54">
        <w:tc>
          <w:tcPr>
            <w:tcW w:w="2263" w:type="dxa"/>
          </w:tcPr>
          <w:p w:rsidR="00251483" w:rsidRPr="0077566E" w:rsidRDefault="00251483" w:rsidP="00A055C0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2551" w:type="dxa"/>
          </w:tcPr>
          <w:p w:rsidR="00251483" w:rsidRPr="0077566E" w:rsidRDefault="00251483" w:rsidP="002A167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Збереження тарифів на теперішньому рівні.</w:t>
            </w:r>
          </w:p>
        </w:tc>
        <w:tc>
          <w:tcPr>
            <w:tcW w:w="2552" w:type="dxa"/>
          </w:tcPr>
          <w:p w:rsidR="00251483" w:rsidRPr="0077566E" w:rsidRDefault="00386A54" w:rsidP="00F45E50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Погіршення якості послуг з переве</w:t>
            </w:r>
            <w:r w:rsidRPr="0077566E">
              <w:rPr>
                <w:sz w:val="24"/>
                <w:szCs w:val="24"/>
                <w:lang w:eastAsia="ru-RU"/>
              </w:rPr>
              <w:softHyphen/>
              <w:t>зення пасажирів</w:t>
            </w:r>
            <w:r w:rsidR="00F45E50" w:rsidRPr="0077566E">
              <w:rPr>
                <w:sz w:val="24"/>
                <w:szCs w:val="24"/>
                <w:lang w:eastAsia="ru-RU"/>
              </w:rPr>
              <w:t xml:space="preserve"> </w:t>
            </w:r>
            <w:r w:rsidRPr="0077566E">
              <w:rPr>
                <w:sz w:val="24"/>
                <w:szCs w:val="24"/>
                <w:lang w:eastAsia="ru-RU"/>
              </w:rPr>
              <w:t>через змен</w:t>
            </w:r>
            <w:r w:rsidRPr="0077566E">
              <w:rPr>
                <w:sz w:val="24"/>
                <w:szCs w:val="24"/>
                <w:lang w:eastAsia="ru-RU"/>
              </w:rPr>
              <w:softHyphen/>
              <w:t xml:space="preserve">шення кількості рейсів. </w:t>
            </w:r>
            <w:r w:rsidR="00251483" w:rsidRPr="0077566E">
              <w:rPr>
                <w:sz w:val="24"/>
                <w:szCs w:val="24"/>
                <w:lang w:eastAsia="ru-RU"/>
              </w:rPr>
              <w:t>Зменшення надходжень до бюд</w:t>
            </w:r>
            <w:r w:rsidRPr="0077566E">
              <w:rPr>
                <w:sz w:val="24"/>
                <w:szCs w:val="24"/>
                <w:lang w:eastAsia="ru-RU"/>
              </w:rPr>
              <w:softHyphen/>
            </w:r>
            <w:r w:rsidR="00251483" w:rsidRPr="0077566E">
              <w:rPr>
                <w:sz w:val="24"/>
                <w:szCs w:val="24"/>
                <w:lang w:eastAsia="ru-RU"/>
              </w:rPr>
              <w:t>жет</w:t>
            </w:r>
            <w:r w:rsidR="00E43AC1" w:rsidRPr="0077566E">
              <w:rPr>
                <w:sz w:val="24"/>
                <w:szCs w:val="24"/>
                <w:lang w:eastAsia="ru-RU"/>
              </w:rPr>
              <w:t>ів у</w:t>
            </w:r>
            <w:r w:rsidRPr="0077566E">
              <w:rPr>
                <w:sz w:val="24"/>
                <w:szCs w:val="24"/>
                <w:lang w:eastAsia="ru-RU"/>
              </w:rPr>
              <w:t>сіх рівнів</w:t>
            </w:r>
            <w:r w:rsidR="00251483" w:rsidRPr="0077566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251483" w:rsidRPr="0077566E" w:rsidRDefault="00251483" w:rsidP="002A167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Не забезпечить досягнення цілей та роз</w:t>
            </w:r>
            <w:r w:rsidR="003926BF" w:rsidRPr="0077566E">
              <w:rPr>
                <w:bCs/>
                <w:sz w:val="24"/>
                <w:szCs w:val="24"/>
                <w:lang w:eastAsia="ru-RU"/>
              </w:rPr>
              <w:t>в’язання вищезазначених проблем</w:t>
            </w:r>
            <w:r w:rsidR="00D15708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51483" w:rsidRPr="0077566E" w:rsidTr="00386A54">
        <w:tc>
          <w:tcPr>
            <w:tcW w:w="2263" w:type="dxa"/>
          </w:tcPr>
          <w:p w:rsidR="00251483" w:rsidRPr="0077566E" w:rsidRDefault="00251483" w:rsidP="00A055C0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2551" w:type="dxa"/>
          </w:tcPr>
          <w:p w:rsidR="00251483" w:rsidRPr="0077566E" w:rsidRDefault="00251483" w:rsidP="002A167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Збереження тарифів на теперішньому рівні.</w:t>
            </w:r>
          </w:p>
          <w:p w:rsidR="00251483" w:rsidRPr="0077566E" w:rsidRDefault="00251483" w:rsidP="002A167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Можливість ведення беззбиткової діяльності.</w:t>
            </w:r>
          </w:p>
        </w:tc>
        <w:tc>
          <w:tcPr>
            <w:tcW w:w="2552" w:type="dxa"/>
          </w:tcPr>
          <w:p w:rsidR="00251483" w:rsidRPr="0077566E" w:rsidRDefault="00251483" w:rsidP="002A167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Додаткове навантаження на бюджет</w:t>
            </w:r>
            <w:r w:rsidR="00D15708">
              <w:rPr>
                <w:sz w:val="24"/>
                <w:szCs w:val="24"/>
                <w:lang w:eastAsia="ru-RU"/>
              </w:rPr>
              <w:t xml:space="preserve"> ВМТГ</w:t>
            </w:r>
            <w:r w:rsidRPr="0077566E">
              <w:rPr>
                <w:sz w:val="24"/>
                <w:szCs w:val="24"/>
                <w:lang w:eastAsia="ru-RU"/>
              </w:rPr>
              <w:t>.</w:t>
            </w:r>
          </w:p>
          <w:p w:rsidR="00251483" w:rsidRPr="0077566E" w:rsidRDefault="00F45E50" w:rsidP="002A167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 xml:space="preserve">Ризик недоотримання </w:t>
            </w:r>
            <w:r w:rsidRPr="0077566E">
              <w:rPr>
                <w:sz w:val="24"/>
                <w:szCs w:val="24"/>
                <w:lang w:eastAsia="ru-RU"/>
              </w:rPr>
              <w:t>компенсації на покриття збитків в зв’язку з дефіцитом коштів у бюджеті</w:t>
            </w:r>
            <w:r w:rsidR="00D15708">
              <w:rPr>
                <w:sz w:val="24"/>
                <w:szCs w:val="24"/>
                <w:lang w:eastAsia="ru-RU"/>
              </w:rPr>
              <w:t xml:space="preserve"> ВМТГ</w:t>
            </w:r>
            <w:r w:rsidRPr="0077566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251483" w:rsidRPr="0077566E" w:rsidRDefault="00251483" w:rsidP="00F45E50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Неповністю забезпечить досягнення цілей та розв’язання в</w:t>
            </w:r>
            <w:r w:rsidR="009B1F3B" w:rsidRPr="0077566E">
              <w:rPr>
                <w:bCs/>
                <w:sz w:val="24"/>
                <w:szCs w:val="24"/>
                <w:lang w:eastAsia="ru-RU"/>
              </w:rPr>
              <w:t>ищезазначених проблем</w:t>
            </w:r>
            <w:r w:rsidR="00D15708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51483" w:rsidRPr="0077566E" w:rsidTr="00386A54">
        <w:tc>
          <w:tcPr>
            <w:tcW w:w="2263" w:type="dxa"/>
          </w:tcPr>
          <w:p w:rsidR="00251483" w:rsidRPr="0077566E" w:rsidRDefault="00251483" w:rsidP="00A055C0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2551" w:type="dxa"/>
          </w:tcPr>
          <w:p w:rsidR="00251483" w:rsidRPr="0077566E" w:rsidRDefault="00F45E50" w:rsidP="00F45E50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Можливість ведення беззбиткової діяльнос</w:t>
            </w:r>
            <w:r w:rsidRPr="0077566E">
              <w:rPr>
                <w:bCs/>
                <w:sz w:val="24"/>
                <w:szCs w:val="24"/>
                <w:lang w:eastAsia="ru-RU"/>
              </w:rPr>
              <w:softHyphen/>
              <w:t xml:space="preserve">ті. </w:t>
            </w:r>
            <w:r w:rsidRPr="0077566E">
              <w:rPr>
                <w:sz w:val="24"/>
                <w:szCs w:val="24"/>
                <w:lang w:eastAsia="ru-RU"/>
              </w:rPr>
              <w:t xml:space="preserve">Покращення якості надання транспортних послуг. </w:t>
            </w:r>
          </w:p>
        </w:tc>
        <w:tc>
          <w:tcPr>
            <w:tcW w:w="2552" w:type="dxa"/>
          </w:tcPr>
          <w:p w:rsidR="00251483" w:rsidRPr="0077566E" w:rsidRDefault="00251483" w:rsidP="002A167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Збіл</w:t>
            </w:r>
            <w:r w:rsidR="003926BF" w:rsidRPr="0077566E">
              <w:rPr>
                <w:sz w:val="24"/>
                <w:szCs w:val="24"/>
                <w:lang w:eastAsia="ru-RU"/>
              </w:rPr>
              <w:t>ьшення витрат на оплату проїзду</w:t>
            </w:r>
            <w:r w:rsidR="00D1570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251483" w:rsidRPr="0077566E" w:rsidRDefault="00251483" w:rsidP="002A167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Забезпечить досягнення цілей та роз</w:t>
            </w:r>
            <w:r w:rsidR="009B1F3B" w:rsidRPr="0077566E">
              <w:rPr>
                <w:bCs/>
                <w:sz w:val="24"/>
                <w:szCs w:val="24"/>
                <w:lang w:eastAsia="ru-RU"/>
              </w:rPr>
              <w:t>в’язання вищезазначених проблем</w:t>
            </w:r>
            <w:r w:rsidR="00D15708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251483" w:rsidRPr="0077566E" w:rsidRDefault="00251483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C7A" w:rsidRPr="0077566E" w:rsidRDefault="00037C7A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263"/>
        <w:gridCol w:w="4678"/>
        <w:gridCol w:w="2977"/>
      </w:tblGrid>
      <w:tr w:rsidR="000B5068" w:rsidRPr="0077566E" w:rsidTr="00F45E50">
        <w:tc>
          <w:tcPr>
            <w:tcW w:w="2263" w:type="dxa"/>
          </w:tcPr>
          <w:p w:rsidR="000B5068" w:rsidRPr="0077566E" w:rsidRDefault="000B5068" w:rsidP="00EE0A28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sz w:val="24"/>
                <w:szCs w:val="24"/>
                <w:lang w:eastAsia="ru-RU"/>
              </w:rPr>
              <w:lastRenderedPageBreak/>
              <w:t>Рейтинг</w:t>
            </w:r>
          </w:p>
        </w:tc>
        <w:tc>
          <w:tcPr>
            <w:tcW w:w="4678" w:type="dxa"/>
          </w:tcPr>
          <w:p w:rsidR="00E90C26" w:rsidRPr="0077566E" w:rsidRDefault="000B5068" w:rsidP="00EE0A28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bCs/>
                <w:sz w:val="24"/>
                <w:szCs w:val="24"/>
                <w:lang w:eastAsia="ru-RU"/>
              </w:rPr>
              <w:t>Аргументи щодо переваги обраної альтернативи/</w:t>
            </w:r>
          </w:p>
          <w:p w:rsidR="000B5068" w:rsidRPr="0077566E" w:rsidRDefault="000B5068" w:rsidP="00EE0A28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bCs/>
                <w:sz w:val="24"/>
                <w:szCs w:val="24"/>
                <w:lang w:eastAsia="ru-RU"/>
              </w:rPr>
              <w:t>причини відмови від альтернативи</w:t>
            </w:r>
          </w:p>
        </w:tc>
        <w:tc>
          <w:tcPr>
            <w:tcW w:w="2977" w:type="dxa"/>
          </w:tcPr>
          <w:p w:rsidR="000B5068" w:rsidRPr="0077566E" w:rsidRDefault="000B5068" w:rsidP="000B5068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7566E">
              <w:rPr>
                <w:b/>
                <w:bCs/>
                <w:sz w:val="24"/>
                <w:szCs w:val="24"/>
                <w:lang w:eastAsia="ru-RU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0B5068" w:rsidRPr="0077566E" w:rsidTr="003926BF">
        <w:tc>
          <w:tcPr>
            <w:tcW w:w="2263" w:type="dxa"/>
          </w:tcPr>
          <w:p w:rsidR="000B5068" w:rsidRPr="0077566E" w:rsidRDefault="000B5068" w:rsidP="00EE0A28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4678" w:type="dxa"/>
          </w:tcPr>
          <w:p w:rsidR="000B5068" w:rsidRPr="0077566E" w:rsidRDefault="00E90C26" w:rsidP="00EE0A28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Не забезпечить досягнення цілей та розв’язання вищезазначених проблем.</w:t>
            </w:r>
          </w:p>
        </w:tc>
        <w:tc>
          <w:tcPr>
            <w:tcW w:w="2977" w:type="dxa"/>
            <w:vAlign w:val="center"/>
          </w:tcPr>
          <w:p w:rsidR="00173CA5" w:rsidRPr="0077566E" w:rsidRDefault="00173CA5" w:rsidP="003926B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0B5068" w:rsidRPr="0077566E" w:rsidTr="003926BF">
        <w:tc>
          <w:tcPr>
            <w:tcW w:w="2263" w:type="dxa"/>
          </w:tcPr>
          <w:p w:rsidR="000B5068" w:rsidRPr="0077566E" w:rsidRDefault="000B5068" w:rsidP="00EE0A28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4678" w:type="dxa"/>
          </w:tcPr>
          <w:p w:rsidR="000B5068" w:rsidRPr="0077566E" w:rsidRDefault="00F45E50" w:rsidP="00F45E50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Додаткове н</w:t>
            </w:r>
            <w:r w:rsidR="00E90C26" w:rsidRPr="0077566E">
              <w:rPr>
                <w:bCs/>
                <w:sz w:val="24"/>
                <w:szCs w:val="24"/>
                <w:lang w:eastAsia="ru-RU"/>
              </w:rPr>
              <w:t>авантаження на бюджет</w:t>
            </w:r>
            <w:r w:rsidR="00D15708">
              <w:rPr>
                <w:bCs/>
                <w:sz w:val="24"/>
                <w:szCs w:val="24"/>
                <w:lang w:eastAsia="ru-RU"/>
              </w:rPr>
              <w:t xml:space="preserve"> ВМТГ</w:t>
            </w:r>
            <w:r w:rsidR="00E90C26" w:rsidRPr="0077566E">
              <w:rPr>
                <w:bCs/>
                <w:sz w:val="24"/>
                <w:szCs w:val="24"/>
                <w:lang w:eastAsia="ru-RU"/>
              </w:rPr>
              <w:t>. У разі відсутності фінансування з бюджету ситуація залишається без змін</w:t>
            </w:r>
            <w:r w:rsidR="003A294B" w:rsidRPr="0077566E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173CA5" w:rsidRPr="0077566E" w:rsidRDefault="00173CA5" w:rsidP="003926BF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E90C26" w:rsidRPr="0077566E" w:rsidTr="00F45E50">
        <w:tc>
          <w:tcPr>
            <w:tcW w:w="2263" w:type="dxa"/>
          </w:tcPr>
          <w:p w:rsidR="00E90C26" w:rsidRPr="0077566E" w:rsidRDefault="00E90C26" w:rsidP="00E90C26">
            <w:pPr>
              <w:ind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4678" w:type="dxa"/>
          </w:tcPr>
          <w:p w:rsidR="00E90C26" w:rsidRPr="0077566E" w:rsidRDefault="00E90C26" w:rsidP="00E90C26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 xml:space="preserve">Забезпечить досягнення цілей та розв’язання вищезазначених проблем. </w:t>
            </w:r>
          </w:p>
          <w:p w:rsidR="00E90C26" w:rsidRPr="0077566E" w:rsidRDefault="00E90C26" w:rsidP="00037C7A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77566E">
              <w:rPr>
                <w:bCs/>
                <w:sz w:val="24"/>
                <w:szCs w:val="24"/>
                <w:lang w:eastAsia="ru-RU"/>
              </w:rPr>
              <w:t>Покращ</w:t>
            </w:r>
            <w:r w:rsidR="00037C7A" w:rsidRPr="0077566E">
              <w:rPr>
                <w:bCs/>
                <w:sz w:val="24"/>
                <w:szCs w:val="24"/>
                <w:lang w:eastAsia="ru-RU"/>
              </w:rPr>
              <w:t>ить</w:t>
            </w:r>
            <w:r w:rsidRPr="0077566E">
              <w:rPr>
                <w:bCs/>
                <w:sz w:val="24"/>
                <w:szCs w:val="24"/>
                <w:lang w:eastAsia="ru-RU"/>
              </w:rPr>
              <w:t xml:space="preserve"> як</w:t>
            </w:r>
            <w:r w:rsidR="00037C7A" w:rsidRPr="0077566E">
              <w:rPr>
                <w:bCs/>
                <w:sz w:val="24"/>
                <w:szCs w:val="24"/>
                <w:lang w:eastAsia="ru-RU"/>
              </w:rPr>
              <w:t>ість</w:t>
            </w:r>
            <w:r w:rsidRPr="0077566E">
              <w:rPr>
                <w:bCs/>
                <w:sz w:val="24"/>
                <w:szCs w:val="24"/>
                <w:lang w:eastAsia="ru-RU"/>
              </w:rPr>
              <w:t xml:space="preserve"> надання послуг.</w:t>
            </w:r>
          </w:p>
        </w:tc>
        <w:tc>
          <w:tcPr>
            <w:tcW w:w="2977" w:type="dxa"/>
          </w:tcPr>
          <w:p w:rsidR="00E90C26" w:rsidRPr="0077566E" w:rsidRDefault="005C6880" w:rsidP="003926B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7566E">
              <w:rPr>
                <w:sz w:val="24"/>
              </w:rPr>
              <w:t>Погіршення економічного стану в країні. Зміна чинного законодавства</w:t>
            </w:r>
            <w:r w:rsidR="00B87F15">
              <w:rPr>
                <w:sz w:val="24"/>
              </w:rPr>
              <w:t>.</w:t>
            </w:r>
          </w:p>
        </w:tc>
      </w:tr>
    </w:tbl>
    <w:p w:rsidR="00BB27CE" w:rsidRPr="0077566E" w:rsidRDefault="00BB27CE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9D2" w:rsidRPr="0077566E" w:rsidRDefault="00374904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8F19D2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Механізми та заходи, які забезпечать розв’язання визначеної проблеми</w:t>
      </w:r>
    </w:p>
    <w:p w:rsidR="008F19D2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0A28" w:rsidRPr="0077566E" w:rsidRDefault="008F19D2" w:rsidP="00F45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Механізмом розв’язання проблеми</w:t>
      </w:r>
      <w:r w:rsidR="000D1CF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зазначеної у </w:t>
      </w:r>
      <w:r w:rsidR="00A756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розділі І</w:t>
      </w:r>
      <w:r w:rsidR="000D1CF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аналізу,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прийняття</w:t>
      </w:r>
      <w:r w:rsidR="00EE0A28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Вінницької міської ради «Про внесення змін до рішення виконавчого комітету міської ради від 31.01.2012 №203 (зі змінами)»</w:t>
      </w:r>
      <w:r w:rsidR="00800B51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4CF" w:rsidRPr="0077566E" w:rsidRDefault="00800B51" w:rsidP="00F45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 дії запропонованого регуляторного акт</w:t>
      </w:r>
      <w:r w:rsidR="001B0A9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спрямований на приведення тарифів на перевезення пасажирів на автобусних маршрутах загального користування в режимі маршрутного таксі </w:t>
      </w:r>
      <w:r w:rsidR="003926BF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 ВМТГ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економічно обґрунтован</w:t>
      </w:r>
      <w:r w:rsidR="003926BF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рівня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B51" w:rsidRPr="0077566E" w:rsidRDefault="00DC2B45" w:rsidP="00F45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</w:t>
      </w:r>
      <w:r w:rsidR="00800B51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необхідно здійснити </w:t>
      </w:r>
      <w:r w:rsidR="008B6781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реалізації вказаних цілей</w:t>
      </w:r>
      <w:r w:rsidR="00800B51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0B51" w:rsidRPr="0077566E" w:rsidRDefault="000D1CFC" w:rsidP="00040B59">
      <w:pPr>
        <w:pStyle w:val="a5"/>
        <w:numPr>
          <w:ilvl w:val="0"/>
          <w:numId w:val="14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 з громадськістю, а саме – розгляд одержаних від фізичних та юридичних  осіб, їх об’єднань зауважень та пропозицій</w:t>
      </w:r>
      <w:r w:rsidR="005C688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5C6880" w:rsidRPr="0077566E">
        <w:rPr>
          <w:rFonts w:ascii="Times New Roman" w:hAnsi="Times New Roman" w:cs="Times New Roman"/>
          <w:sz w:val="28"/>
          <w:szCs w:val="28"/>
        </w:rPr>
        <w:t>бґрунтоване їх прийняття або відхилення.</w:t>
      </w:r>
    </w:p>
    <w:p w:rsidR="000D1CFC" w:rsidRPr="0077566E" w:rsidRDefault="000D1CFC" w:rsidP="000D1CFC">
      <w:pPr>
        <w:pStyle w:val="a5"/>
        <w:numPr>
          <w:ilvl w:val="0"/>
          <w:numId w:val="14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 виконавчим комітетом міської ради рішення виконавчого комітету Вінницької міської ради «Про внесення змін до рішення виконавчого комітету міської ради від 31.01.2012 № 203 (зі змінами)».</w:t>
      </w:r>
    </w:p>
    <w:p w:rsidR="005D24CF" w:rsidRPr="0077566E" w:rsidRDefault="005D24CF" w:rsidP="00F76D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D51A3" w:rsidRPr="0077566E" w:rsidRDefault="00F76D02" w:rsidP="004051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756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VI. Оцінка виконання вимог регуляторного </w:t>
      </w:r>
      <w:r w:rsidR="001B0A9C" w:rsidRPr="007756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акта</w:t>
      </w:r>
      <w:r w:rsidRPr="007756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залежно від ресурсів, якими розпоряджаються органи місцевого самоврядування, фізичні та юридичні особи, які повинні проваджувати або виконувати ці вимоги</w:t>
      </w:r>
    </w:p>
    <w:p w:rsidR="0040518F" w:rsidRPr="0077566E" w:rsidRDefault="0040518F" w:rsidP="004051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90B87" w:rsidRPr="0077566E" w:rsidRDefault="00590B87" w:rsidP="00040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значених цілей планується шляхом прийняття 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виконавчим комітетом Вінницької міської ради 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«Про внесення змін до рішення виконавчого комітету міської ради від 31.01.2012 №203 (зі змінами)», 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саме 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економічно обґрунтован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перевезення пасажирів.</w:t>
      </w:r>
    </w:p>
    <w:p w:rsidR="00590B87" w:rsidRPr="0077566E" w:rsidRDefault="00590B87" w:rsidP="00040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прийняття рішення «Про внесення змін до рішення виконавчого комітету міської ради від 31.01.2012 №203 (зі змінами)» виділення додаткових коштів з бюджету </w:t>
      </w:r>
      <w:r w:rsidR="00B8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ВМТГ 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передбачається.</w:t>
      </w:r>
    </w:p>
    <w:p w:rsidR="00304543" w:rsidRPr="0077566E" w:rsidRDefault="00590B87" w:rsidP="00040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запровадження регулювання для суб’єктів мал</w:t>
      </w:r>
      <w:r w:rsidR="0063535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підприємництва не передбачают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ься.</w:t>
      </w:r>
      <w:r w:rsidR="0053465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04543" w:rsidRPr="0077566E" w:rsidRDefault="00304543" w:rsidP="00304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 міста буде проінформовано через засоби масової інформації.</w:t>
      </w:r>
    </w:p>
    <w:p w:rsidR="000D1524" w:rsidRPr="0077566E" w:rsidRDefault="00304543" w:rsidP="00040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малого підприємництва (М-Тест) – додаток 1 до аналізу регуляторного впливу.</w:t>
      </w:r>
      <w:r w:rsidR="0053465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F19D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19D2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VII</w:t>
      </w:r>
      <w:r w:rsidR="0091233F" w:rsidRPr="00775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775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 запропонованого строку дії регуляторного акт</w:t>
      </w:r>
      <w:r w:rsidR="001B0A9C" w:rsidRPr="00775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3C35E9" w:rsidRPr="0077566E" w:rsidRDefault="008F19D2" w:rsidP="003C35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4" w:name="bookmark7"/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EE3AB1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bookmarkEnd w:id="4"/>
    </w:p>
    <w:p w:rsidR="003C35E9" w:rsidRPr="0077566E" w:rsidRDefault="003C35E9" w:rsidP="00B27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 дії за</w:t>
      </w:r>
      <w:r w:rsidR="00EC3F24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пропонованого регуляторного </w:t>
      </w:r>
      <w:r w:rsidR="001B0A9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прийняття наступного регуляторного </w:t>
      </w:r>
      <w:r w:rsidR="001B0A9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Термін дії залежатиме від економічних чинників, а саме – динамік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6682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вартості паливо-мастильних матеріалів, запчастин, підвищення законодавчо встановленого розміру мінімальної заробітної плати тощо.</w:t>
      </w:r>
    </w:p>
    <w:p w:rsidR="00FE20B9" w:rsidRPr="0077566E" w:rsidRDefault="00FE20B9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19D2" w:rsidRPr="0077566E" w:rsidRDefault="001D51A3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</w:t>
      </w:r>
      <w:r w:rsidR="008F19D2" w:rsidRPr="00775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Визначення показників результативності</w:t>
      </w:r>
      <w:r w:rsidR="00040B59" w:rsidRPr="00775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дії регуляторного акт</w:t>
      </w:r>
      <w:r w:rsidR="001B0A9C" w:rsidRPr="00775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8F19D2" w:rsidRPr="0077566E" w:rsidRDefault="008F19D2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ABB" w:rsidRPr="0077566E" w:rsidRDefault="005F2ABB" w:rsidP="005F2ABB">
      <w:pPr>
        <w:pStyle w:val="a3"/>
        <w:spacing w:before="0" w:beforeAutospacing="0" w:after="0" w:afterAutospacing="0"/>
        <w:ind w:firstLine="708"/>
        <w:jc w:val="both"/>
        <w:rPr>
          <w:rFonts w:ascii="Helvetica" w:hAnsi="Helvetica"/>
          <w:sz w:val="28"/>
          <w:szCs w:val="28"/>
          <w:lang w:val="uk-UA"/>
        </w:rPr>
      </w:pPr>
      <w:r w:rsidRPr="0077566E">
        <w:rPr>
          <w:sz w:val="28"/>
          <w:szCs w:val="28"/>
          <w:lang w:val="uk-UA"/>
        </w:rPr>
        <w:t>Прогнозними значеннями показників результативності регуляторного акта є збереження системи транспортного обслуговування населення, забезпечення  своєчасності і якості надання транспортних послуг та безпеки пасажирських перевезень.</w:t>
      </w:r>
    </w:p>
    <w:p w:rsidR="005F2ABB" w:rsidRPr="0077566E" w:rsidRDefault="005F2ABB" w:rsidP="005F2A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7566E">
        <w:rPr>
          <w:sz w:val="28"/>
          <w:szCs w:val="28"/>
          <w:lang w:val="uk-UA"/>
        </w:rPr>
        <w:t>Основними показниками результативності регуляторного акта є:</w:t>
      </w:r>
    </w:p>
    <w:p w:rsidR="00B8069F" w:rsidRPr="0077566E" w:rsidRDefault="00B8069F" w:rsidP="00B825F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hAnsi="Times New Roman" w:cs="Times New Roman"/>
          <w:sz w:val="28"/>
          <w:szCs w:val="28"/>
        </w:rPr>
        <w:t>кількість діючих міських автобусних маршрутів</w:t>
      </w:r>
      <w:r w:rsidR="00040B59" w:rsidRPr="0077566E">
        <w:rPr>
          <w:rFonts w:ascii="Times New Roman" w:hAnsi="Times New Roman" w:cs="Times New Roman"/>
          <w:sz w:val="28"/>
          <w:szCs w:val="28"/>
        </w:rPr>
        <w:t xml:space="preserve"> загального користування в режимі маршрутного таксі </w:t>
      </w:r>
      <w:r w:rsidR="001B0A9C" w:rsidRPr="0077566E">
        <w:rPr>
          <w:rFonts w:ascii="Times New Roman" w:hAnsi="Times New Roman" w:cs="Times New Roman"/>
          <w:sz w:val="28"/>
          <w:szCs w:val="28"/>
        </w:rPr>
        <w:t>на території ВМТГ</w:t>
      </w:r>
      <w:r w:rsidRPr="0077566E">
        <w:rPr>
          <w:rFonts w:ascii="Times New Roman" w:hAnsi="Times New Roman" w:cs="Times New Roman"/>
          <w:sz w:val="28"/>
          <w:szCs w:val="28"/>
        </w:rPr>
        <w:t>;</w:t>
      </w:r>
    </w:p>
    <w:p w:rsidR="00B8069F" w:rsidRPr="0077566E" w:rsidRDefault="00B8069F" w:rsidP="00040B59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транспортних засобів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здійснюють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перевезення пасажирів на 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автобусних 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маршрутах</w:t>
      </w:r>
      <w:r w:rsidR="00040B59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користування в режимі маршрутного таксі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069F" w:rsidRPr="0077566E" w:rsidRDefault="00B8069F" w:rsidP="00040B59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суб’єктів господарювання, на яких поширюється дія даного регуляторного </w:t>
      </w:r>
      <w:r w:rsidR="001B0A9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069F" w:rsidRPr="0077566E" w:rsidRDefault="00B8069F" w:rsidP="00040B59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скарг/звернень громадян на як</w:t>
      </w:r>
      <w:r w:rsidR="00A15E83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ість надання відповідних послуг.</w:t>
      </w:r>
    </w:p>
    <w:p w:rsidR="00B27722" w:rsidRPr="0077566E" w:rsidRDefault="00B27722" w:rsidP="00B277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bookmark8"/>
    </w:p>
    <w:p w:rsidR="008F19D2" w:rsidRPr="0077566E" w:rsidRDefault="00B112F8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D3DA6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</w:t>
      </w:r>
      <w:r w:rsidR="008F19D2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Визначення заходів, за допомогою яких здійснюватиметься відстеження результативності дії регуляторного </w:t>
      </w:r>
      <w:bookmarkEnd w:id="5"/>
      <w:r w:rsidR="001B0A9C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акта</w:t>
      </w:r>
    </w:p>
    <w:p w:rsidR="0099377F" w:rsidRPr="0077566E" w:rsidRDefault="0099377F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33D" w:rsidRPr="0077566E" w:rsidRDefault="000D533D" w:rsidP="00B27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Відстеження результативності дії </w:t>
      </w:r>
      <w:r w:rsidR="0099377F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даного 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регуляторного </w:t>
      </w:r>
      <w:r w:rsidR="001B0A9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здійснюватися </w:t>
      </w:r>
      <w:r w:rsidR="0099377F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вимог Закону України «Про засади державної регуляторної політики у сфері господарської діяльності</w:t>
      </w:r>
      <w:r w:rsidR="00DB7480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398" w:rsidRPr="0077566E" w:rsidRDefault="004F5398" w:rsidP="00B27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Базове відстеження </w:t>
      </w:r>
      <w:r w:rsidR="005004DD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здійснюватиметься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643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набрання чинності цього</w:t>
      </w:r>
      <w:r w:rsidR="008D11C7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468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регуляторного </w:t>
      </w:r>
      <w:r w:rsidR="001B0A9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B14468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7722" w:rsidRPr="0077566E" w:rsidRDefault="00B14468" w:rsidP="00B27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Повторне відстеження результативності регуляторного </w:t>
      </w:r>
      <w:r w:rsidR="001B0A9C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здійснено через рік після набрання ним чинності.</w:t>
      </w:r>
    </w:p>
    <w:p w:rsidR="00562A95" w:rsidRPr="0077566E" w:rsidRDefault="00B27722" w:rsidP="00B277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4468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еріодичні відстеження проводитимуться раз на кожні 3 роки від дня закінчення заходів з попереднього відстеження результативності</w:t>
      </w:r>
      <w:r w:rsidR="00562A95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A95" w:rsidRPr="0077566E" w:rsidRDefault="000D533D" w:rsidP="00562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проведення</w:t>
      </w:r>
      <w:r w:rsidR="00562A95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відстеження результативності – статистичний.</w:t>
      </w:r>
    </w:p>
    <w:p w:rsidR="00B27722" w:rsidRPr="0077566E" w:rsidRDefault="00562A95" w:rsidP="00904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даних – статистичні показники</w:t>
      </w:r>
      <w:r w:rsidR="00904478"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A58" w:rsidRPr="0077566E" w:rsidRDefault="000D533D" w:rsidP="009044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84D03" w:rsidRPr="007756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Зворотній зв'язок: </w:t>
      </w:r>
      <w:r w:rsidR="00984D03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департамент </w:t>
      </w:r>
      <w:r w:rsidR="0027467A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економіки і інвестицій Вінницької</w:t>
      </w:r>
      <w:r w:rsidR="00984D03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7467A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="00984D03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іської ради</w:t>
      </w:r>
      <w:r w:rsidR="0027467A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984D03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C1180B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210</w:t>
      </w:r>
      <w:r w:rsidR="00C118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C1180B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0,</w:t>
      </w:r>
      <w:r w:rsidR="00C118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84D03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м. </w:t>
      </w:r>
      <w:r w:rsidR="0027467A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Вінниця</w:t>
      </w:r>
      <w:r w:rsidR="00984D03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27467A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вул. Соборна, 59</w:t>
      </w:r>
      <w:r w:rsidR="00984D03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3772B8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(0432) 59-50-46, </w:t>
      </w:r>
      <w:r w:rsidR="0027467A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</w:t>
      </w:r>
      <w:r w:rsidR="0027467A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-</w:t>
      </w:r>
      <w:r w:rsidR="0027467A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mail</w:t>
      </w:r>
      <w:r w:rsidR="0027467A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: </w:t>
      </w:r>
      <w:hyperlink r:id="rId8" w:history="1">
        <w:r w:rsidR="00A86FEE" w:rsidRPr="0077566E">
          <w:rPr>
            <w:rStyle w:val="a8"/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lang w:eastAsia="ru-RU"/>
          </w:rPr>
          <w:t>d</w:t>
        </w:r>
        <w:r w:rsidR="00A86FEE" w:rsidRPr="0077566E">
          <w:rPr>
            <w:rStyle w:val="a8"/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lang w:val="en-US" w:eastAsia="ru-RU"/>
          </w:rPr>
          <w:t>ei</w:t>
        </w:r>
        <w:r w:rsidR="00A86FEE" w:rsidRPr="0077566E">
          <w:rPr>
            <w:rStyle w:val="a8"/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lang w:eastAsia="ru-RU"/>
          </w:rPr>
          <w:t>@vmr.gov.ua</w:t>
        </w:r>
      </w:hyperlink>
      <w:r w:rsidR="00984D03" w:rsidRPr="007756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AB4AC8" w:rsidRPr="0077566E" w:rsidRDefault="00AB4AC8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A294B" w:rsidRPr="0077566E" w:rsidRDefault="003A294B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A294B" w:rsidRPr="0077566E" w:rsidRDefault="003A294B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CB56C1" w:rsidRPr="0077566E" w:rsidRDefault="003859EE" w:rsidP="00CB5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департаменту </w:t>
      </w:r>
    </w:p>
    <w:p w:rsidR="003859EE" w:rsidRPr="0077566E" w:rsidRDefault="00CB56C1" w:rsidP="00CB5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економіки і інвестицій</w:t>
      </w:r>
    </w:p>
    <w:p w:rsidR="003859EE" w:rsidRPr="0077566E" w:rsidRDefault="00CB56C1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Вінниць</w:t>
      </w:r>
      <w:r w:rsidR="00F81A7D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кої міської ради</w:t>
      </w:r>
      <w:r w:rsidR="00F81A7D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81A7D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81A7D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81A7D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59EE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235084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3859EE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3859EE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0A9C" w:rsidRPr="0077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 Мартьянов</w:t>
      </w:r>
    </w:p>
    <w:p w:rsidR="00562BCB" w:rsidRPr="0077566E" w:rsidRDefault="00562BCB" w:rsidP="007D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93D" w:rsidRDefault="00AC193D" w:rsidP="00015349">
      <w:pPr>
        <w:pStyle w:val="1"/>
        <w:tabs>
          <w:tab w:val="left" w:pos="6379"/>
        </w:tabs>
        <w:spacing w:before="89"/>
        <w:ind w:right="-1" w:firstLine="6237"/>
        <w:rPr>
          <w:sz w:val="24"/>
          <w:lang w:val="uk-UA"/>
        </w:rPr>
      </w:pPr>
    </w:p>
    <w:p w:rsidR="00562BCB" w:rsidRPr="0077566E" w:rsidRDefault="00015349" w:rsidP="00015349">
      <w:pPr>
        <w:pStyle w:val="1"/>
        <w:tabs>
          <w:tab w:val="left" w:pos="6379"/>
        </w:tabs>
        <w:spacing w:before="89"/>
        <w:ind w:right="-1" w:firstLine="6237"/>
        <w:rPr>
          <w:sz w:val="24"/>
          <w:lang w:val="uk-UA"/>
        </w:rPr>
      </w:pPr>
      <w:r w:rsidRPr="0077566E">
        <w:rPr>
          <w:sz w:val="24"/>
          <w:lang w:val="uk-UA"/>
        </w:rPr>
        <w:t xml:space="preserve"> </w:t>
      </w:r>
      <w:r w:rsidR="00562BCB" w:rsidRPr="0077566E">
        <w:rPr>
          <w:sz w:val="24"/>
          <w:lang w:val="uk-UA"/>
        </w:rPr>
        <w:t>Додаток1</w:t>
      </w:r>
    </w:p>
    <w:p w:rsidR="00562BCB" w:rsidRPr="0077566E" w:rsidRDefault="00562BCB" w:rsidP="00015349">
      <w:pPr>
        <w:pStyle w:val="1"/>
        <w:spacing w:before="89"/>
        <w:ind w:right="71"/>
        <w:jc w:val="right"/>
        <w:rPr>
          <w:sz w:val="24"/>
          <w:lang w:val="uk-UA"/>
        </w:rPr>
      </w:pPr>
      <w:r w:rsidRPr="0077566E">
        <w:rPr>
          <w:sz w:val="24"/>
          <w:lang w:val="uk-UA"/>
        </w:rPr>
        <w:t>до аналізу регуляторного впливу</w:t>
      </w:r>
    </w:p>
    <w:p w:rsidR="00562BCB" w:rsidRPr="0077566E" w:rsidRDefault="00562BCB" w:rsidP="00562BCB">
      <w:pPr>
        <w:pStyle w:val="1"/>
        <w:spacing w:before="89"/>
        <w:ind w:right="71"/>
        <w:jc w:val="center"/>
        <w:rPr>
          <w:lang w:val="uk-UA"/>
        </w:rPr>
      </w:pPr>
      <w:r w:rsidRPr="0077566E">
        <w:rPr>
          <w:lang w:val="uk-UA"/>
        </w:rPr>
        <w:t>ТЕСТ</w:t>
      </w:r>
    </w:p>
    <w:p w:rsidR="00562BCB" w:rsidRPr="0077566E" w:rsidRDefault="00562BCB" w:rsidP="00562BCB">
      <w:pPr>
        <w:spacing w:before="2" w:line="319" w:lineRule="exact"/>
        <w:ind w:left="2902"/>
        <w:rPr>
          <w:rFonts w:ascii="Times New Roman" w:hAnsi="Times New Roman" w:cs="Times New Roman"/>
          <w:b/>
          <w:sz w:val="28"/>
          <w:szCs w:val="28"/>
        </w:rPr>
      </w:pPr>
      <w:r w:rsidRPr="0077566E">
        <w:rPr>
          <w:rFonts w:ascii="Times New Roman" w:hAnsi="Times New Roman" w:cs="Times New Roman"/>
          <w:b/>
          <w:sz w:val="28"/>
          <w:szCs w:val="28"/>
        </w:rPr>
        <w:t>малого підприємництва (М-Тест)</w:t>
      </w:r>
    </w:p>
    <w:p w:rsidR="00562BCB" w:rsidRPr="0077566E" w:rsidRDefault="00562BCB" w:rsidP="004C090A">
      <w:pPr>
        <w:pStyle w:val="a5"/>
        <w:widowControl w:val="0"/>
        <w:numPr>
          <w:ilvl w:val="2"/>
          <w:numId w:val="16"/>
        </w:numPr>
        <w:tabs>
          <w:tab w:val="left" w:pos="982"/>
        </w:tabs>
        <w:autoSpaceDE w:val="0"/>
        <w:autoSpaceDN w:val="0"/>
        <w:spacing w:after="0" w:line="240" w:lineRule="auto"/>
        <w:ind w:left="0" w:right="204" w:firstLine="6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hAnsi="Times New Roman" w:cs="Times New Roman"/>
          <w:sz w:val="28"/>
          <w:szCs w:val="28"/>
        </w:rPr>
        <w:t>Консультації з представниками мікро- та малого підприємництва щодо оцінки впливу</w:t>
      </w:r>
      <w:r w:rsidRPr="007756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566E">
        <w:rPr>
          <w:rFonts w:ascii="Times New Roman" w:hAnsi="Times New Roman" w:cs="Times New Roman"/>
          <w:sz w:val="28"/>
          <w:szCs w:val="28"/>
        </w:rPr>
        <w:t>регулювання</w:t>
      </w:r>
    </w:p>
    <w:p w:rsidR="00562BCB" w:rsidRPr="0077566E" w:rsidRDefault="00562BCB" w:rsidP="004C090A">
      <w:pPr>
        <w:pStyle w:val="af3"/>
        <w:spacing w:after="6"/>
        <w:ind w:right="20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hAnsi="Times New Roman" w:cs="Times New Roman"/>
          <w:sz w:val="28"/>
          <w:szCs w:val="28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</w:t>
      </w:r>
      <w:r w:rsidR="00B825F7" w:rsidRPr="0077566E">
        <w:rPr>
          <w:rFonts w:ascii="Times New Roman" w:hAnsi="Times New Roman" w:cs="Times New Roman"/>
          <w:sz w:val="28"/>
          <w:szCs w:val="28"/>
        </w:rPr>
        <w:t>з “</w:t>
      </w:r>
      <w:r w:rsidR="00F92B7D" w:rsidRPr="0077566E">
        <w:rPr>
          <w:rFonts w:ascii="Times New Roman" w:hAnsi="Times New Roman" w:cs="Times New Roman"/>
          <w:sz w:val="28"/>
          <w:szCs w:val="28"/>
        </w:rPr>
        <w:t>18</w:t>
      </w:r>
      <w:r w:rsidR="00B825F7" w:rsidRPr="0077566E">
        <w:rPr>
          <w:rFonts w:ascii="Times New Roman" w:hAnsi="Times New Roman" w:cs="Times New Roman"/>
          <w:sz w:val="28"/>
          <w:szCs w:val="28"/>
        </w:rPr>
        <w:t xml:space="preserve">” </w:t>
      </w:r>
      <w:r w:rsidR="0034543B" w:rsidRPr="0077566E">
        <w:rPr>
          <w:rFonts w:ascii="Times New Roman" w:hAnsi="Times New Roman" w:cs="Times New Roman"/>
          <w:sz w:val="28"/>
          <w:szCs w:val="28"/>
        </w:rPr>
        <w:t>лютого 2021</w:t>
      </w:r>
      <w:r w:rsidR="00B825F7" w:rsidRPr="0077566E">
        <w:rPr>
          <w:rFonts w:ascii="Times New Roman" w:hAnsi="Times New Roman" w:cs="Times New Roman"/>
          <w:sz w:val="28"/>
          <w:szCs w:val="28"/>
        </w:rPr>
        <w:t xml:space="preserve"> р. </w:t>
      </w:r>
      <w:r w:rsidR="00685719" w:rsidRPr="0077566E">
        <w:rPr>
          <w:rFonts w:ascii="Times New Roman" w:hAnsi="Times New Roman" w:cs="Times New Roman"/>
          <w:sz w:val="28"/>
          <w:szCs w:val="28"/>
        </w:rPr>
        <w:t>по “03</w:t>
      </w:r>
      <w:r w:rsidR="00B825F7" w:rsidRPr="0077566E">
        <w:rPr>
          <w:rFonts w:ascii="Times New Roman" w:hAnsi="Times New Roman" w:cs="Times New Roman"/>
          <w:sz w:val="28"/>
          <w:szCs w:val="28"/>
        </w:rPr>
        <w:t>”</w:t>
      </w:r>
      <w:r w:rsidR="00F92B7D" w:rsidRPr="0077566E">
        <w:rPr>
          <w:rFonts w:ascii="Times New Roman" w:hAnsi="Times New Roman" w:cs="Times New Roman"/>
          <w:sz w:val="28"/>
          <w:szCs w:val="28"/>
        </w:rPr>
        <w:t xml:space="preserve"> </w:t>
      </w:r>
      <w:r w:rsidR="00685719" w:rsidRPr="0077566E">
        <w:rPr>
          <w:rFonts w:ascii="Times New Roman" w:hAnsi="Times New Roman" w:cs="Times New Roman"/>
          <w:sz w:val="28"/>
          <w:szCs w:val="28"/>
        </w:rPr>
        <w:t>березня</w:t>
      </w:r>
      <w:r w:rsidRPr="0077566E">
        <w:rPr>
          <w:rFonts w:ascii="Times New Roman" w:hAnsi="Times New Roman" w:cs="Times New Roman"/>
          <w:sz w:val="28"/>
          <w:szCs w:val="28"/>
        </w:rPr>
        <w:t xml:space="preserve"> 20</w:t>
      </w:r>
      <w:r w:rsidR="0034543B" w:rsidRPr="0077566E">
        <w:rPr>
          <w:rFonts w:ascii="Times New Roman" w:hAnsi="Times New Roman" w:cs="Times New Roman"/>
          <w:sz w:val="28"/>
          <w:szCs w:val="28"/>
        </w:rPr>
        <w:t>21</w:t>
      </w:r>
      <w:r w:rsidRPr="0077566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7566E">
        <w:rPr>
          <w:rFonts w:ascii="Times New Roman" w:hAnsi="Times New Roman" w:cs="Times New Roman"/>
          <w:sz w:val="28"/>
          <w:szCs w:val="28"/>
        </w:rPr>
        <w:t>р.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72"/>
        <w:gridCol w:w="4098"/>
        <w:gridCol w:w="1773"/>
        <w:gridCol w:w="2267"/>
      </w:tblGrid>
      <w:tr w:rsidR="004C090A" w:rsidRPr="0077566E" w:rsidTr="009A72D8">
        <w:tc>
          <w:tcPr>
            <w:tcW w:w="1572" w:type="dxa"/>
            <w:vAlign w:val="center"/>
          </w:tcPr>
          <w:p w:rsidR="00562BCB" w:rsidRPr="0077566E" w:rsidRDefault="00562BCB" w:rsidP="00F92B7D">
            <w:pPr>
              <w:pStyle w:val="af3"/>
              <w:spacing w:after="6"/>
              <w:ind w:right="-70" w:firstLine="0"/>
              <w:jc w:val="center"/>
              <w:rPr>
                <w:b/>
                <w:sz w:val="24"/>
                <w:szCs w:val="24"/>
              </w:rPr>
            </w:pPr>
            <w:r w:rsidRPr="0077566E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4098" w:type="dxa"/>
            <w:vAlign w:val="center"/>
          </w:tcPr>
          <w:p w:rsidR="00562BCB" w:rsidRPr="0077566E" w:rsidRDefault="00562BCB" w:rsidP="00F92B7D">
            <w:pPr>
              <w:pStyle w:val="af3"/>
              <w:spacing w:after="6"/>
              <w:ind w:right="203" w:firstLine="0"/>
              <w:jc w:val="center"/>
              <w:rPr>
                <w:b/>
                <w:sz w:val="24"/>
                <w:szCs w:val="24"/>
              </w:rPr>
            </w:pPr>
            <w:r w:rsidRPr="0077566E">
              <w:rPr>
                <w:b/>
                <w:sz w:val="24"/>
                <w:szCs w:val="24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 тощо), запити (до підприємців, експертів, науковців тощо)</w:t>
            </w:r>
          </w:p>
        </w:tc>
        <w:tc>
          <w:tcPr>
            <w:tcW w:w="1773" w:type="dxa"/>
            <w:vAlign w:val="center"/>
          </w:tcPr>
          <w:p w:rsidR="00562BCB" w:rsidRPr="0077566E" w:rsidRDefault="00562BCB" w:rsidP="00F92B7D">
            <w:pPr>
              <w:pStyle w:val="TableParagraph"/>
              <w:ind w:left="-73" w:firstLine="3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Кількість учасників консультацій, осіб</w:t>
            </w:r>
          </w:p>
        </w:tc>
        <w:tc>
          <w:tcPr>
            <w:tcW w:w="2267" w:type="dxa"/>
            <w:vAlign w:val="center"/>
          </w:tcPr>
          <w:p w:rsidR="00562BCB" w:rsidRPr="0077566E" w:rsidRDefault="00562BCB" w:rsidP="00F92B7D">
            <w:pPr>
              <w:pStyle w:val="TableParagraph"/>
              <w:ind w:left="-106" w:right="-105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Основні результати консультацій (опис)</w:t>
            </w:r>
          </w:p>
        </w:tc>
      </w:tr>
      <w:tr w:rsidR="004C090A" w:rsidRPr="0077566E" w:rsidTr="009A72D8">
        <w:tc>
          <w:tcPr>
            <w:tcW w:w="1572" w:type="dxa"/>
            <w:vAlign w:val="center"/>
          </w:tcPr>
          <w:p w:rsidR="00562BCB" w:rsidRPr="0077566E" w:rsidRDefault="00562BCB" w:rsidP="00685719">
            <w:pPr>
              <w:pStyle w:val="af3"/>
              <w:spacing w:after="6"/>
              <w:ind w:right="203"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</w:rPr>
              <w:t>1</w:t>
            </w:r>
          </w:p>
        </w:tc>
        <w:tc>
          <w:tcPr>
            <w:tcW w:w="4098" w:type="dxa"/>
            <w:vAlign w:val="center"/>
          </w:tcPr>
          <w:p w:rsidR="00562BCB" w:rsidRPr="0077566E" w:rsidRDefault="00F92B7D" w:rsidP="009A72D8">
            <w:pPr>
              <w:pStyle w:val="af3"/>
              <w:spacing w:after="6"/>
              <w:ind w:right="203"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</w:rPr>
              <w:t xml:space="preserve">Робоча зустріч –  18.02.2021 (представники ГО «Маршрут», департаменту економіки і інвестицій, департаменту енергетики, транспорту та зв’язку, </w:t>
            </w:r>
            <w:r w:rsidR="009A72D8" w:rsidRPr="0077566E">
              <w:rPr>
                <w:sz w:val="24"/>
                <w:szCs w:val="24"/>
              </w:rPr>
              <w:t>департаменту правової політики та якості</w:t>
            </w:r>
            <w:r w:rsidR="009A72D8">
              <w:rPr>
                <w:sz w:val="24"/>
                <w:szCs w:val="24"/>
              </w:rPr>
              <w:t>,</w:t>
            </w:r>
            <w:r w:rsidR="009A72D8" w:rsidRPr="0077566E">
              <w:rPr>
                <w:sz w:val="24"/>
                <w:szCs w:val="24"/>
              </w:rPr>
              <w:t xml:space="preserve"> </w:t>
            </w:r>
            <w:r w:rsidRPr="0077566E">
              <w:rPr>
                <w:sz w:val="24"/>
                <w:szCs w:val="24"/>
              </w:rPr>
              <w:t>КП «Вінницякартсервіс»)</w:t>
            </w:r>
          </w:p>
        </w:tc>
        <w:tc>
          <w:tcPr>
            <w:tcW w:w="1773" w:type="dxa"/>
            <w:vAlign w:val="center"/>
          </w:tcPr>
          <w:p w:rsidR="00562BCB" w:rsidRPr="0077566E" w:rsidRDefault="00F92B7D" w:rsidP="00C42014">
            <w:pPr>
              <w:pStyle w:val="af3"/>
              <w:spacing w:after="6"/>
              <w:ind w:right="203" w:firstLine="61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</w:rPr>
              <w:t>9</w:t>
            </w:r>
          </w:p>
        </w:tc>
        <w:tc>
          <w:tcPr>
            <w:tcW w:w="2267" w:type="dxa"/>
            <w:vAlign w:val="center"/>
          </w:tcPr>
          <w:p w:rsidR="00562BCB" w:rsidRPr="0077566E" w:rsidRDefault="00562BCB" w:rsidP="00F92B7D">
            <w:pPr>
              <w:pStyle w:val="TableParagraph"/>
              <w:spacing w:before="0"/>
              <w:ind w:left="-72" w:firstLine="0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Надано консультації щодо приведення у відповідність розрахунків тарифів до вимог чинного законодавства</w:t>
            </w:r>
            <w:r w:rsidR="004C090A">
              <w:rPr>
                <w:sz w:val="24"/>
                <w:szCs w:val="24"/>
                <w:lang w:val="uk-UA"/>
              </w:rPr>
              <w:t>.</w:t>
            </w:r>
          </w:p>
        </w:tc>
      </w:tr>
      <w:tr w:rsidR="004C090A" w:rsidRPr="0077566E" w:rsidTr="009A72D8">
        <w:tc>
          <w:tcPr>
            <w:tcW w:w="1572" w:type="dxa"/>
            <w:vAlign w:val="center"/>
          </w:tcPr>
          <w:p w:rsidR="00562BCB" w:rsidRPr="0077566E" w:rsidRDefault="00562BCB" w:rsidP="00685719">
            <w:pPr>
              <w:pStyle w:val="af3"/>
              <w:spacing w:after="6"/>
              <w:ind w:right="203"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</w:rPr>
              <w:t>2</w:t>
            </w:r>
          </w:p>
        </w:tc>
        <w:tc>
          <w:tcPr>
            <w:tcW w:w="4098" w:type="dxa"/>
            <w:vAlign w:val="center"/>
          </w:tcPr>
          <w:p w:rsidR="00562BCB" w:rsidRPr="0077566E" w:rsidRDefault="00F92B7D" w:rsidP="009A72D8">
            <w:pPr>
              <w:pStyle w:val="af3"/>
              <w:spacing w:after="6"/>
              <w:ind w:right="203" w:firstLine="0"/>
              <w:jc w:val="center"/>
              <w:rPr>
                <w:sz w:val="24"/>
                <w:szCs w:val="24"/>
              </w:rPr>
            </w:pPr>
            <w:r w:rsidRPr="0077566E">
              <w:rPr>
                <w:sz w:val="24"/>
                <w:szCs w:val="24"/>
              </w:rPr>
              <w:t>Робоча зустріч –  03.03.2021 (представники ГО «Маршрут», департаменту економіки і інвестицій, департаменту енергетики, транспорту та зв’язку, департаменту правової політики та якості, КП «Вінницякартсервіс»)</w:t>
            </w:r>
            <w:bookmarkStart w:id="6" w:name="_GoBack"/>
            <w:bookmarkEnd w:id="6"/>
          </w:p>
        </w:tc>
        <w:tc>
          <w:tcPr>
            <w:tcW w:w="1773" w:type="dxa"/>
            <w:vAlign w:val="center"/>
          </w:tcPr>
          <w:p w:rsidR="00562BCB" w:rsidRPr="0077566E" w:rsidRDefault="001135BE" w:rsidP="001141F5">
            <w:pPr>
              <w:pStyle w:val="af3"/>
              <w:spacing w:after="6"/>
              <w:ind w:left="-104" w:right="-1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7" w:type="dxa"/>
            <w:vAlign w:val="center"/>
          </w:tcPr>
          <w:p w:rsidR="00562BCB" w:rsidRPr="0077566E" w:rsidRDefault="00562BCB" w:rsidP="001141F5">
            <w:pPr>
              <w:pStyle w:val="TableParagraph"/>
              <w:spacing w:before="0"/>
              <w:ind w:left="-214" w:firstLine="14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Запропоноване регулювання сприймається.</w:t>
            </w:r>
          </w:p>
          <w:p w:rsidR="00562BCB" w:rsidRPr="0077566E" w:rsidRDefault="00904478" w:rsidP="001141F5">
            <w:pPr>
              <w:pStyle w:val="TableParagraph"/>
              <w:spacing w:before="0"/>
              <w:ind w:left="-214" w:firstLine="14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Уточнення витрат перевізників на виконання вимог чинного законодавства.</w:t>
            </w:r>
          </w:p>
        </w:tc>
      </w:tr>
    </w:tbl>
    <w:p w:rsidR="00562BCB" w:rsidRPr="0077566E" w:rsidRDefault="00562BCB" w:rsidP="00562BCB">
      <w:pPr>
        <w:pStyle w:val="a5"/>
        <w:tabs>
          <w:tab w:val="left" w:pos="982"/>
        </w:tabs>
        <w:spacing w:after="0"/>
        <w:ind w:left="653" w:right="208"/>
        <w:jc w:val="both"/>
        <w:rPr>
          <w:sz w:val="24"/>
          <w:szCs w:val="24"/>
        </w:rPr>
      </w:pPr>
    </w:p>
    <w:p w:rsidR="00562BCB" w:rsidRPr="0077566E" w:rsidRDefault="00562BCB" w:rsidP="004C090A">
      <w:pPr>
        <w:pStyle w:val="a5"/>
        <w:widowControl w:val="0"/>
        <w:numPr>
          <w:ilvl w:val="2"/>
          <w:numId w:val="16"/>
        </w:numPr>
        <w:tabs>
          <w:tab w:val="left" w:pos="982"/>
        </w:tabs>
        <w:autoSpaceDE w:val="0"/>
        <w:autoSpaceDN w:val="0"/>
        <w:spacing w:after="0" w:line="240" w:lineRule="auto"/>
        <w:ind w:left="0" w:right="204" w:firstLine="6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hAnsi="Times New Roman" w:cs="Times New Roman"/>
          <w:sz w:val="28"/>
          <w:szCs w:val="28"/>
        </w:rPr>
        <w:t>Вимірювання впливу регулювання на суб’єктів малого підприємництва (мікро- та</w:t>
      </w:r>
      <w:r w:rsidRPr="004C090A">
        <w:rPr>
          <w:rFonts w:ascii="Times New Roman" w:hAnsi="Times New Roman" w:cs="Times New Roman"/>
          <w:sz w:val="28"/>
          <w:szCs w:val="28"/>
        </w:rPr>
        <w:t xml:space="preserve"> </w:t>
      </w:r>
      <w:r w:rsidRPr="0077566E">
        <w:rPr>
          <w:rFonts w:ascii="Times New Roman" w:hAnsi="Times New Roman" w:cs="Times New Roman"/>
          <w:sz w:val="28"/>
          <w:szCs w:val="28"/>
        </w:rPr>
        <w:t>малі):</w:t>
      </w:r>
    </w:p>
    <w:p w:rsidR="00562BCB" w:rsidRPr="0077566E" w:rsidRDefault="00562BCB" w:rsidP="004C090A">
      <w:pPr>
        <w:tabs>
          <w:tab w:val="left" w:pos="709"/>
        </w:tabs>
        <w:spacing w:after="0"/>
        <w:ind w:right="2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566E">
        <w:rPr>
          <w:rFonts w:ascii="Times New Roman" w:hAnsi="Times New Roman" w:cs="Times New Roman"/>
          <w:sz w:val="28"/>
          <w:szCs w:val="28"/>
        </w:rPr>
        <w:tab/>
        <w:t xml:space="preserve">кількість суб’єктів малого підприємництва, на яких поширюється регулювання: </w:t>
      </w:r>
      <w:r w:rsidRPr="0077566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9147F" w:rsidRPr="0077566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04478" w:rsidRPr="0077566E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7566E">
        <w:rPr>
          <w:rFonts w:ascii="Times New Roman" w:hAnsi="Times New Roman" w:cs="Times New Roman"/>
          <w:sz w:val="28"/>
          <w:szCs w:val="28"/>
        </w:rPr>
        <w:t>, у тому числі малого підприємництва</w:t>
      </w:r>
      <w:r w:rsidR="004C090A">
        <w:rPr>
          <w:rFonts w:ascii="Times New Roman" w:hAnsi="Times New Roman" w:cs="Times New Roman"/>
          <w:sz w:val="28"/>
          <w:szCs w:val="28"/>
        </w:rPr>
        <w:t>:</w:t>
      </w:r>
      <w:r w:rsidRPr="0077566E">
        <w:rPr>
          <w:rFonts w:ascii="Times New Roman" w:hAnsi="Times New Roman" w:cs="Times New Roman"/>
          <w:sz w:val="28"/>
          <w:szCs w:val="28"/>
        </w:rPr>
        <w:t xml:space="preserve"> </w:t>
      </w:r>
      <w:r w:rsidR="00AC193D" w:rsidRPr="00AC193D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77566E">
        <w:rPr>
          <w:rFonts w:ascii="Times New Roman" w:hAnsi="Times New Roman" w:cs="Times New Roman"/>
          <w:sz w:val="28"/>
          <w:szCs w:val="28"/>
        </w:rPr>
        <w:t xml:space="preserve"> та мікропідприємництва</w:t>
      </w:r>
      <w:r w:rsidR="004C090A">
        <w:rPr>
          <w:rFonts w:ascii="Times New Roman" w:hAnsi="Times New Roman" w:cs="Times New Roman"/>
          <w:sz w:val="28"/>
          <w:szCs w:val="28"/>
        </w:rPr>
        <w:t>:</w:t>
      </w:r>
      <w:r w:rsidR="00C26682" w:rsidRPr="0077566E">
        <w:rPr>
          <w:rFonts w:ascii="Times New Roman" w:hAnsi="Times New Roman" w:cs="Times New Roman"/>
          <w:sz w:val="28"/>
          <w:szCs w:val="28"/>
        </w:rPr>
        <w:t xml:space="preserve"> </w:t>
      </w:r>
      <w:r w:rsidR="00B9147F" w:rsidRPr="0077566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AC193D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7756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2BCB" w:rsidRPr="0077566E" w:rsidRDefault="00562BCB" w:rsidP="004C090A">
      <w:pPr>
        <w:tabs>
          <w:tab w:val="left" w:pos="709"/>
        </w:tabs>
        <w:spacing w:after="0"/>
        <w:ind w:right="208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hAnsi="Times New Roman" w:cs="Times New Roman"/>
          <w:sz w:val="28"/>
          <w:szCs w:val="28"/>
        </w:rPr>
        <w:tab/>
        <w:t>питома вага суб’єктів малого підприємництва у загальній кількості суб’єктів господарювання, на яких проблема справляє вплив</w:t>
      </w:r>
      <w:r w:rsidR="004C090A">
        <w:rPr>
          <w:rFonts w:ascii="Times New Roman" w:hAnsi="Times New Roman" w:cs="Times New Roman"/>
          <w:sz w:val="28"/>
          <w:szCs w:val="28"/>
        </w:rPr>
        <w:t>,</w:t>
      </w:r>
      <w:r w:rsidRPr="0077566E">
        <w:rPr>
          <w:rFonts w:ascii="Times New Roman" w:hAnsi="Times New Roman" w:cs="Times New Roman"/>
          <w:sz w:val="28"/>
          <w:szCs w:val="28"/>
        </w:rPr>
        <w:t xml:space="preserve"> </w:t>
      </w:r>
      <w:r w:rsidR="004C090A">
        <w:rPr>
          <w:rFonts w:ascii="Times New Roman" w:hAnsi="Times New Roman" w:cs="Times New Roman"/>
          <w:sz w:val="28"/>
          <w:szCs w:val="28"/>
        </w:rPr>
        <w:t xml:space="preserve">- </w:t>
      </w:r>
      <w:r w:rsidRPr="0077566E">
        <w:rPr>
          <w:rFonts w:ascii="Times New Roman" w:hAnsi="Times New Roman" w:cs="Times New Roman"/>
          <w:sz w:val="28"/>
          <w:szCs w:val="28"/>
        </w:rPr>
        <w:t>100%.</w:t>
      </w:r>
    </w:p>
    <w:p w:rsidR="001141F5" w:rsidRPr="0077566E" w:rsidRDefault="001141F5" w:rsidP="00562BCB">
      <w:pPr>
        <w:pStyle w:val="af3"/>
        <w:tabs>
          <w:tab w:val="left" w:pos="1839"/>
          <w:tab w:val="left" w:pos="2655"/>
          <w:tab w:val="left" w:pos="4063"/>
          <w:tab w:val="left" w:pos="5142"/>
        </w:tabs>
        <w:spacing w:after="0" w:line="242" w:lineRule="auto"/>
        <w:ind w:right="208" w:firstLine="4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2BCB" w:rsidRPr="0077566E" w:rsidRDefault="00562BCB" w:rsidP="004C090A">
      <w:pPr>
        <w:pStyle w:val="af3"/>
        <w:tabs>
          <w:tab w:val="left" w:pos="1839"/>
          <w:tab w:val="left" w:pos="2655"/>
          <w:tab w:val="left" w:pos="4063"/>
          <w:tab w:val="left" w:pos="5142"/>
        </w:tabs>
        <w:spacing w:after="0" w:line="242" w:lineRule="auto"/>
        <w:ind w:right="208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66E">
        <w:rPr>
          <w:rFonts w:ascii="Times New Roman" w:hAnsi="Times New Roman" w:cs="Times New Roman"/>
          <w:sz w:val="28"/>
          <w:szCs w:val="28"/>
          <w:shd w:val="clear" w:color="auto" w:fill="FFFFFF"/>
        </w:rPr>
        <w:t>3. Розрахунок витрат суб’єктів малого підприємництва на виконання вимог регулювання</w:t>
      </w:r>
    </w:p>
    <w:p w:rsidR="00713454" w:rsidRPr="0077566E" w:rsidRDefault="00713454" w:rsidP="00562BCB">
      <w:pPr>
        <w:pStyle w:val="af3"/>
        <w:tabs>
          <w:tab w:val="left" w:pos="1839"/>
          <w:tab w:val="left" w:pos="2655"/>
          <w:tab w:val="left" w:pos="4063"/>
          <w:tab w:val="left" w:pos="5142"/>
        </w:tabs>
        <w:spacing w:after="0" w:line="242" w:lineRule="auto"/>
        <w:ind w:right="208" w:firstLine="451"/>
        <w:jc w:val="both"/>
        <w:rPr>
          <w:rFonts w:ascii="Times New Roman" w:hAnsi="Times New Roman" w:cs="Times New Roman"/>
          <w:sz w:val="28"/>
          <w:szCs w:val="28"/>
        </w:rPr>
      </w:pPr>
    </w:p>
    <w:p w:rsidR="00713454" w:rsidRPr="0077566E" w:rsidRDefault="00713454" w:rsidP="00562BCB">
      <w:pPr>
        <w:pStyle w:val="af3"/>
        <w:tabs>
          <w:tab w:val="left" w:pos="1839"/>
          <w:tab w:val="left" w:pos="2655"/>
          <w:tab w:val="left" w:pos="4063"/>
          <w:tab w:val="left" w:pos="5142"/>
        </w:tabs>
        <w:spacing w:after="0" w:line="242" w:lineRule="auto"/>
        <w:ind w:right="208" w:firstLine="4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8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4053"/>
        <w:gridCol w:w="1498"/>
        <w:gridCol w:w="1360"/>
        <w:gridCol w:w="1469"/>
      </w:tblGrid>
      <w:tr w:rsidR="004C090A" w:rsidRPr="0077566E" w:rsidTr="004C090A">
        <w:trPr>
          <w:trHeight w:val="694"/>
        </w:trPr>
        <w:tc>
          <w:tcPr>
            <w:tcW w:w="1476" w:type="dxa"/>
            <w:vAlign w:val="center"/>
          </w:tcPr>
          <w:p w:rsidR="00562BCB" w:rsidRPr="0077566E" w:rsidRDefault="00562BCB" w:rsidP="00C26682">
            <w:pPr>
              <w:pStyle w:val="TableParagraph"/>
              <w:spacing w:before="0"/>
              <w:ind w:left="0" w:right="-25" w:firstLine="4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lastRenderedPageBreak/>
              <w:t>Порядковий номер</w:t>
            </w:r>
          </w:p>
        </w:tc>
        <w:tc>
          <w:tcPr>
            <w:tcW w:w="4053" w:type="dxa"/>
            <w:vAlign w:val="center"/>
          </w:tcPr>
          <w:p w:rsidR="00562BCB" w:rsidRPr="0077566E" w:rsidRDefault="00562BCB" w:rsidP="00C26682">
            <w:pPr>
              <w:pStyle w:val="TableParagraph"/>
              <w:spacing w:before="0"/>
              <w:ind w:left="578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Найменування оцінки</w:t>
            </w:r>
          </w:p>
        </w:tc>
        <w:tc>
          <w:tcPr>
            <w:tcW w:w="1498" w:type="dxa"/>
            <w:vAlign w:val="center"/>
          </w:tcPr>
          <w:p w:rsidR="00562BCB" w:rsidRPr="0077566E" w:rsidRDefault="00562BCB" w:rsidP="00C26682">
            <w:pPr>
              <w:pStyle w:val="TableParagraph"/>
              <w:spacing w:before="0"/>
              <w:ind w:right="153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У перший рік</w:t>
            </w:r>
          </w:p>
        </w:tc>
        <w:tc>
          <w:tcPr>
            <w:tcW w:w="1360" w:type="dxa"/>
            <w:vAlign w:val="center"/>
          </w:tcPr>
          <w:p w:rsidR="00562BCB" w:rsidRPr="0077566E" w:rsidRDefault="00562BCB" w:rsidP="00C26682">
            <w:pPr>
              <w:pStyle w:val="TableParagraph"/>
              <w:spacing w:before="0"/>
              <w:ind w:left="5" w:right="-15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pacing w:val="-1"/>
                <w:sz w:val="24"/>
                <w:szCs w:val="24"/>
                <w:lang w:val="uk-UA"/>
              </w:rPr>
              <w:t>Періодичні</w:t>
            </w:r>
          </w:p>
        </w:tc>
        <w:tc>
          <w:tcPr>
            <w:tcW w:w="1468" w:type="dxa"/>
            <w:vAlign w:val="center"/>
          </w:tcPr>
          <w:p w:rsidR="00562BCB" w:rsidRPr="0077566E" w:rsidRDefault="00562BCB" w:rsidP="00C26682">
            <w:pPr>
              <w:pStyle w:val="TableParagraph"/>
              <w:spacing w:before="0"/>
              <w:ind w:left="75" w:right="40" w:firstLine="9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Витрати за п’ять років</w:t>
            </w:r>
          </w:p>
        </w:tc>
      </w:tr>
      <w:tr w:rsidR="004C090A" w:rsidRPr="0077566E" w:rsidTr="004C090A">
        <w:trPr>
          <w:trHeight w:val="279"/>
        </w:trPr>
        <w:tc>
          <w:tcPr>
            <w:tcW w:w="9856" w:type="dxa"/>
            <w:gridSpan w:val="5"/>
          </w:tcPr>
          <w:p w:rsidR="00562BCB" w:rsidRPr="0077566E" w:rsidRDefault="00562BCB" w:rsidP="00152B24">
            <w:pPr>
              <w:pStyle w:val="TableParagraph"/>
              <w:spacing w:before="0" w:line="237" w:lineRule="auto"/>
              <w:ind w:left="4046" w:right="-68" w:hanging="4046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4C090A" w:rsidRPr="0077566E" w:rsidTr="004C090A">
        <w:trPr>
          <w:trHeight w:val="555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 w:right="-1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1403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 w:right="148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830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 w:right="20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844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053" w:type="dxa"/>
          </w:tcPr>
          <w:p w:rsidR="00562BCB" w:rsidRPr="0077566E" w:rsidRDefault="00562BCB" w:rsidP="00C621E7">
            <w:pPr>
              <w:pStyle w:val="TableParagraph"/>
              <w:spacing w:before="0" w:line="242" w:lineRule="auto"/>
              <w:ind w:left="6" w:right="44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Процедури обслуговування обладнання (технічне</w:t>
            </w:r>
            <w:r w:rsidR="00C621E7" w:rsidRPr="0077566E">
              <w:rPr>
                <w:sz w:val="24"/>
                <w:szCs w:val="24"/>
                <w:lang w:val="uk-UA"/>
              </w:rPr>
              <w:t xml:space="preserve"> </w:t>
            </w:r>
            <w:r w:rsidRPr="0077566E">
              <w:rPr>
                <w:sz w:val="24"/>
                <w:szCs w:val="24"/>
                <w:lang w:val="uk-UA"/>
              </w:rPr>
              <w:t>обслуговування)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250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Інші процедури</w:t>
            </w:r>
            <w:r w:rsidR="00C621E7" w:rsidRPr="0077566E">
              <w:rPr>
                <w:sz w:val="24"/>
                <w:szCs w:val="24"/>
                <w:lang w:val="uk-UA"/>
              </w:rPr>
              <w:t xml:space="preserve"> (уточнити)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296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Разом, гривень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925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 w:right="1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4326" w:type="dxa"/>
            <w:gridSpan w:val="3"/>
            <w:vAlign w:val="center"/>
          </w:tcPr>
          <w:p w:rsidR="00562BCB" w:rsidRPr="0077566E" w:rsidRDefault="00C26682" w:rsidP="00904478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10</w:t>
            </w:r>
            <w:r w:rsidR="00904478" w:rsidRPr="0077566E">
              <w:rPr>
                <w:sz w:val="24"/>
                <w:szCs w:val="24"/>
                <w:lang w:val="uk-UA"/>
              </w:rPr>
              <w:t>1</w:t>
            </w:r>
          </w:p>
        </w:tc>
      </w:tr>
      <w:tr w:rsidR="004C090A" w:rsidRPr="0077566E" w:rsidTr="004C090A">
        <w:trPr>
          <w:trHeight w:val="328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Сумарно, гривень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537"/>
        </w:trPr>
        <w:tc>
          <w:tcPr>
            <w:tcW w:w="9856" w:type="dxa"/>
            <w:gridSpan w:val="5"/>
          </w:tcPr>
          <w:p w:rsidR="00562BCB" w:rsidRPr="0077566E" w:rsidRDefault="00562BCB" w:rsidP="00C621E7">
            <w:pPr>
              <w:pStyle w:val="TableParagraph"/>
              <w:tabs>
                <w:tab w:val="left" w:pos="1738"/>
                <w:tab w:val="left" w:pos="3161"/>
                <w:tab w:val="left" w:pos="5708"/>
                <w:tab w:val="left" w:pos="7274"/>
                <w:tab w:val="left" w:pos="8804"/>
              </w:tabs>
              <w:spacing w:before="0" w:line="237" w:lineRule="auto"/>
              <w:ind w:right="-15" w:hanging="4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Оцінка вартості адміністративних процедур суб’єктів малого підприємництва щодо виконання регулювання та</w:t>
            </w:r>
            <w:r w:rsidRPr="0077566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77566E">
              <w:rPr>
                <w:sz w:val="24"/>
                <w:szCs w:val="24"/>
                <w:lang w:val="uk-UA"/>
              </w:rPr>
              <w:t>звітування</w:t>
            </w:r>
          </w:p>
        </w:tc>
      </w:tr>
      <w:tr w:rsidR="004C090A" w:rsidRPr="0077566E" w:rsidTr="004C090A">
        <w:trPr>
          <w:trHeight w:val="497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053" w:type="dxa"/>
          </w:tcPr>
          <w:p w:rsidR="00562BCB" w:rsidRPr="0077566E" w:rsidRDefault="00562BCB" w:rsidP="00C621E7">
            <w:pPr>
              <w:pStyle w:val="TableParagraph"/>
              <w:spacing w:before="0" w:line="322" w:lineRule="exact"/>
              <w:ind w:left="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Процедури отримання</w:t>
            </w:r>
            <w:r w:rsidR="00C621E7" w:rsidRPr="0077566E">
              <w:rPr>
                <w:sz w:val="24"/>
                <w:szCs w:val="24"/>
                <w:lang w:val="uk-UA"/>
              </w:rPr>
              <w:t xml:space="preserve"> </w:t>
            </w:r>
            <w:r w:rsidRPr="0077566E">
              <w:rPr>
                <w:sz w:val="24"/>
                <w:szCs w:val="24"/>
                <w:lang w:val="uk-UA"/>
              </w:rPr>
              <w:t>первинної інформації про вимоги регулювання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580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 w:right="7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Процедури організації виконання вимог регулювання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570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053" w:type="dxa"/>
          </w:tcPr>
          <w:p w:rsidR="00562BCB" w:rsidRPr="0077566E" w:rsidRDefault="00562BCB" w:rsidP="00C621E7">
            <w:pPr>
              <w:pStyle w:val="TableParagraph"/>
              <w:spacing w:before="0" w:line="237" w:lineRule="auto"/>
              <w:ind w:left="6" w:right="102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 xml:space="preserve">Процедури офіційного </w:t>
            </w:r>
            <w:r w:rsidR="00C621E7" w:rsidRPr="0077566E">
              <w:rPr>
                <w:sz w:val="24"/>
                <w:szCs w:val="24"/>
                <w:lang w:val="uk-UA"/>
              </w:rPr>
              <w:t>з</w:t>
            </w:r>
            <w:r w:rsidRPr="0077566E">
              <w:rPr>
                <w:sz w:val="24"/>
                <w:szCs w:val="24"/>
                <w:lang w:val="uk-UA"/>
              </w:rPr>
              <w:t>вітування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561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 w:right="55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Процедури щодо забезпечення процесу перевірок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220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Інші процедури</w:t>
            </w:r>
            <w:r w:rsidR="00C621E7" w:rsidRPr="0077566E">
              <w:rPr>
                <w:sz w:val="24"/>
                <w:szCs w:val="24"/>
                <w:lang w:val="uk-UA"/>
              </w:rPr>
              <w:t xml:space="preserve"> (уточнити)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210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Разом, гривень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1111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 w:right="1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4326" w:type="dxa"/>
            <w:gridSpan w:val="3"/>
            <w:vAlign w:val="center"/>
          </w:tcPr>
          <w:p w:rsidR="00562BCB" w:rsidRPr="0077566E" w:rsidRDefault="00904478" w:rsidP="00C2668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101</w:t>
            </w:r>
          </w:p>
        </w:tc>
      </w:tr>
      <w:tr w:rsidR="004C090A" w:rsidRPr="0077566E" w:rsidTr="004C090A">
        <w:trPr>
          <w:trHeight w:val="251"/>
        </w:trPr>
        <w:tc>
          <w:tcPr>
            <w:tcW w:w="1476" w:type="dxa"/>
          </w:tcPr>
          <w:p w:rsidR="00562BCB" w:rsidRPr="0077566E" w:rsidRDefault="00562BCB" w:rsidP="001C3261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053" w:type="dxa"/>
          </w:tcPr>
          <w:p w:rsidR="00562BCB" w:rsidRPr="0077566E" w:rsidRDefault="00562BCB" w:rsidP="001C3261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Сумарно, гривень</w:t>
            </w:r>
          </w:p>
        </w:tc>
        <w:tc>
          <w:tcPr>
            <w:tcW w:w="1498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562BCB" w:rsidRPr="0077566E" w:rsidRDefault="00562BCB" w:rsidP="001C3261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562BCB" w:rsidRPr="0077566E" w:rsidRDefault="00562BCB" w:rsidP="001C3261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562BCB" w:rsidRPr="0077566E" w:rsidRDefault="00562BCB" w:rsidP="00562BCB">
      <w:pPr>
        <w:pStyle w:val="af3"/>
        <w:spacing w:after="0"/>
        <w:ind w:right="11" w:firstLine="653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hAnsi="Times New Roman" w:cs="Times New Roman"/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p w:rsidR="00562BCB" w:rsidRPr="0077566E" w:rsidRDefault="00562BCB" w:rsidP="00562BCB">
      <w:pPr>
        <w:pStyle w:val="af3"/>
        <w:spacing w:after="0"/>
        <w:ind w:right="11" w:firstLine="653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hAnsi="Times New Roman" w:cs="Times New Roman"/>
          <w:sz w:val="28"/>
          <w:szCs w:val="28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:rsidR="00562BCB" w:rsidRPr="0077566E" w:rsidRDefault="00562BCB" w:rsidP="00562BCB">
      <w:pPr>
        <w:pStyle w:val="af3"/>
        <w:spacing w:after="0"/>
        <w:ind w:right="11" w:firstLine="653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hAnsi="Times New Roman" w:cs="Times New Roman"/>
          <w:sz w:val="28"/>
          <w:szCs w:val="28"/>
        </w:rPr>
        <w:t>Державний орган, для якого здійснюється розрахунок вартості адміністрування регулювання:</w:t>
      </w:r>
    </w:p>
    <w:p w:rsidR="00562BCB" w:rsidRPr="0077566E" w:rsidRDefault="00562BCB" w:rsidP="00562BCB">
      <w:pPr>
        <w:tabs>
          <w:tab w:val="left" w:pos="982"/>
        </w:tabs>
        <w:spacing w:after="0"/>
        <w:ind w:left="202" w:right="2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566E">
        <w:rPr>
          <w:rFonts w:ascii="Times New Roman" w:hAnsi="Times New Roman" w:cs="Times New Roman"/>
          <w:sz w:val="28"/>
          <w:szCs w:val="28"/>
          <w:u w:val="single"/>
        </w:rPr>
        <w:t>Виконавчий комітет Вінницької міської ради</w:t>
      </w:r>
    </w:p>
    <w:tbl>
      <w:tblPr>
        <w:tblStyle w:val="TableNormal"/>
        <w:tblW w:w="972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1134"/>
        <w:gridCol w:w="1559"/>
        <w:gridCol w:w="1417"/>
        <w:gridCol w:w="1560"/>
        <w:gridCol w:w="1566"/>
      </w:tblGrid>
      <w:tr w:rsidR="004C090A" w:rsidRPr="0077566E" w:rsidTr="004C090A">
        <w:trPr>
          <w:trHeight w:val="2253"/>
        </w:trPr>
        <w:tc>
          <w:tcPr>
            <w:tcW w:w="2491" w:type="dxa"/>
            <w:vAlign w:val="center"/>
          </w:tcPr>
          <w:p w:rsidR="00562BCB" w:rsidRPr="0077566E" w:rsidRDefault="00562BCB" w:rsidP="00C26682">
            <w:pPr>
              <w:pStyle w:val="TableParagraph"/>
              <w:spacing w:before="0" w:line="242" w:lineRule="auto"/>
              <w:ind w:left="515" w:right="508" w:hanging="1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lastRenderedPageBreak/>
              <w:t>Процедура регулювання</w:t>
            </w:r>
          </w:p>
          <w:p w:rsidR="00562BCB" w:rsidRPr="0077566E" w:rsidRDefault="00562BCB" w:rsidP="00C26682">
            <w:pPr>
              <w:pStyle w:val="TableParagraph"/>
              <w:spacing w:before="0" w:line="237" w:lineRule="auto"/>
              <w:ind w:left="294" w:right="288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>суб’єктів малого підприємництва</w:t>
            </w:r>
          </w:p>
        </w:tc>
        <w:tc>
          <w:tcPr>
            <w:tcW w:w="1134" w:type="dxa"/>
            <w:vAlign w:val="center"/>
          </w:tcPr>
          <w:p w:rsidR="00562BCB" w:rsidRPr="0077566E" w:rsidRDefault="00562BCB" w:rsidP="00C26682">
            <w:pPr>
              <w:pStyle w:val="TableParagraph"/>
              <w:spacing w:before="0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>Планові витрати часу на</w:t>
            </w:r>
          </w:p>
          <w:p w:rsidR="00562BCB" w:rsidRPr="0077566E" w:rsidRDefault="00562BCB" w:rsidP="00C26682">
            <w:pPr>
              <w:pStyle w:val="TableParagraph"/>
              <w:spacing w:before="0" w:line="321" w:lineRule="exact"/>
              <w:ind w:left="6" w:right="-15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>процедуру</w:t>
            </w:r>
          </w:p>
        </w:tc>
        <w:tc>
          <w:tcPr>
            <w:tcW w:w="1559" w:type="dxa"/>
            <w:vAlign w:val="center"/>
          </w:tcPr>
          <w:p w:rsidR="00562BCB" w:rsidRPr="0077566E" w:rsidRDefault="00562BCB" w:rsidP="00C26682">
            <w:pPr>
              <w:pStyle w:val="TableParagraph"/>
              <w:spacing w:before="0"/>
              <w:ind w:left="6" w:right="-15" w:firstLine="2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 xml:space="preserve">Вартість часу </w:t>
            </w:r>
            <w:r w:rsidRPr="0077566E">
              <w:rPr>
                <w:b/>
                <w:spacing w:val="-1"/>
                <w:lang w:val="uk-UA"/>
              </w:rPr>
              <w:t xml:space="preserve">співробітника </w:t>
            </w:r>
            <w:r w:rsidRPr="0077566E">
              <w:rPr>
                <w:b/>
                <w:lang w:val="uk-UA"/>
              </w:rPr>
              <w:t>органу</w:t>
            </w:r>
          </w:p>
          <w:p w:rsidR="00562BCB" w:rsidRPr="0077566E" w:rsidRDefault="00562BCB" w:rsidP="00C26682">
            <w:pPr>
              <w:pStyle w:val="TableParagraph"/>
              <w:spacing w:before="0"/>
              <w:ind w:left="158" w:right="146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 xml:space="preserve">державної влади </w:t>
            </w:r>
            <w:r w:rsidRPr="0077566E">
              <w:rPr>
                <w:b/>
                <w:spacing w:val="-1"/>
                <w:lang w:val="uk-UA"/>
              </w:rPr>
              <w:t xml:space="preserve">відповідної </w:t>
            </w:r>
            <w:r w:rsidRPr="0077566E">
              <w:rPr>
                <w:b/>
                <w:lang w:val="uk-UA"/>
              </w:rPr>
              <w:t>категорії (заробітна плата)</w:t>
            </w:r>
          </w:p>
        </w:tc>
        <w:tc>
          <w:tcPr>
            <w:tcW w:w="1417" w:type="dxa"/>
            <w:vAlign w:val="center"/>
          </w:tcPr>
          <w:p w:rsidR="00562BCB" w:rsidRPr="0077566E" w:rsidRDefault="00562BCB" w:rsidP="00C26682">
            <w:pPr>
              <w:pStyle w:val="TableParagraph"/>
              <w:spacing w:before="0" w:line="242" w:lineRule="auto"/>
              <w:ind w:left="184" w:right="156" w:firstLine="122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>Оцінка кількості</w:t>
            </w:r>
          </w:p>
          <w:p w:rsidR="00562BCB" w:rsidRPr="0077566E" w:rsidRDefault="00562BCB" w:rsidP="00C26682">
            <w:pPr>
              <w:pStyle w:val="TableParagraph"/>
              <w:spacing w:before="0"/>
              <w:ind w:left="7" w:right="-15" w:hanging="2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>процедур за рік, що припадають на одного</w:t>
            </w:r>
          </w:p>
          <w:p w:rsidR="00562BCB" w:rsidRPr="0077566E" w:rsidRDefault="00562BCB" w:rsidP="00C26682">
            <w:pPr>
              <w:pStyle w:val="TableParagraph"/>
              <w:spacing w:before="0" w:line="321" w:lineRule="exact"/>
              <w:ind w:left="204" w:right="195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>суб’єкта</w:t>
            </w:r>
          </w:p>
        </w:tc>
        <w:tc>
          <w:tcPr>
            <w:tcW w:w="1560" w:type="dxa"/>
            <w:vAlign w:val="center"/>
          </w:tcPr>
          <w:p w:rsidR="00562BCB" w:rsidRPr="0077566E" w:rsidRDefault="003F1A10" w:rsidP="00C26682">
            <w:pPr>
              <w:pStyle w:val="TableParagraph"/>
              <w:spacing w:before="0"/>
              <w:ind w:left="6" w:right="4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 xml:space="preserve">Оцінка кількості суб’єктів, </w:t>
            </w:r>
            <w:r w:rsidR="00562BCB" w:rsidRPr="0077566E">
              <w:rPr>
                <w:b/>
                <w:lang w:val="uk-UA"/>
              </w:rPr>
              <w:t>що</w:t>
            </w:r>
            <w:r w:rsidRPr="0077566E">
              <w:rPr>
                <w:b/>
                <w:lang w:val="uk-UA"/>
              </w:rPr>
              <w:t xml:space="preserve"> </w:t>
            </w:r>
            <w:r w:rsidR="00562BCB" w:rsidRPr="0077566E">
              <w:rPr>
                <w:b/>
                <w:lang w:val="uk-UA"/>
              </w:rPr>
              <w:t>підпадають</w:t>
            </w:r>
          </w:p>
          <w:p w:rsidR="00562BCB" w:rsidRPr="0077566E" w:rsidRDefault="00562BCB" w:rsidP="00C26682">
            <w:pPr>
              <w:pStyle w:val="TableParagraph"/>
              <w:spacing w:before="0"/>
              <w:ind w:left="7" w:right="-15" w:hanging="2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>під дію процедури регулювання</w:t>
            </w:r>
          </w:p>
        </w:tc>
        <w:tc>
          <w:tcPr>
            <w:tcW w:w="1566" w:type="dxa"/>
            <w:vAlign w:val="center"/>
          </w:tcPr>
          <w:p w:rsidR="00562BCB" w:rsidRPr="0077566E" w:rsidRDefault="00562BCB" w:rsidP="00C26682">
            <w:pPr>
              <w:pStyle w:val="TableParagraph"/>
              <w:spacing w:before="0" w:line="242" w:lineRule="auto"/>
              <w:ind w:left="68" w:right="54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>Витрати на</w:t>
            </w:r>
          </w:p>
          <w:p w:rsidR="00562BCB" w:rsidRPr="0077566E" w:rsidRDefault="00562BCB" w:rsidP="00C26682">
            <w:pPr>
              <w:pStyle w:val="TableParagraph"/>
              <w:spacing w:before="0"/>
              <w:ind w:left="68" w:right="51" w:firstLine="2"/>
              <w:jc w:val="center"/>
              <w:rPr>
                <w:b/>
                <w:lang w:val="uk-UA"/>
              </w:rPr>
            </w:pPr>
            <w:r w:rsidRPr="0077566E">
              <w:rPr>
                <w:b/>
                <w:lang w:val="uk-UA"/>
              </w:rPr>
              <w:t>адміністрування регулюв</w:t>
            </w:r>
            <w:r w:rsidR="00922A54" w:rsidRPr="0077566E">
              <w:rPr>
                <w:b/>
                <w:lang w:val="uk-UA"/>
              </w:rPr>
              <w:t>ання</w:t>
            </w:r>
            <w:r w:rsidRPr="0077566E">
              <w:rPr>
                <w:b/>
                <w:lang w:val="uk-UA"/>
              </w:rPr>
              <w:t xml:space="preserve"> </w:t>
            </w:r>
            <w:r w:rsidR="003F1A10" w:rsidRPr="0077566E">
              <w:rPr>
                <w:b/>
                <w:lang w:val="uk-UA"/>
              </w:rPr>
              <w:t>(за рік)</w:t>
            </w:r>
            <w:r w:rsidR="00922A54" w:rsidRPr="0077566E">
              <w:rPr>
                <w:b/>
                <w:lang w:val="uk-UA"/>
              </w:rPr>
              <w:t>,</w:t>
            </w:r>
            <w:r w:rsidR="003F1A10" w:rsidRPr="0077566E">
              <w:rPr>
                <w:b/>
                <w:lang w:val="uk-UA"/>
              </w:rPr>
              <w:t xml:space="preserve"> </w:t>
            </w:r>
            <w:r w:rsidRPr="0077566E">
              <w:rPr>
                <w:b/>
                <w:lang w:val="uk-UA"/>
              </w:rPr>
              <w:t>гривень</w:t>
            </w:r>
          </w:p>
        </w:tc>
      </w:tr>
      <w:tr w:rsidR="004C090A" w:rsidRPr="0077566E" w:rsidTr="004C090A">
        <w:trPr>
          <w:trHeight w:val="1264"/>
        </w:trPr>
        <w:tc>
          <w:tcPr>
            <w:tcW w:w="2491" w:type="dxa"/>
          </w:tcPr>
          <w:p w:rsidR="00562BCB" w:rsidRPr="0077566E" w:rsidRDefault="00562BCB" w:rsidP="001C3261">
            <w:pPr>
              <w:pStyle w:val="TableParagraph"/>
              <w:spacing w:before="0"/>
              <w:ind w:right="9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1. Облік суб’єкта господарювання, що перебуває у сфері</w:t>
            </w:r>
          </w:p>
          <w:p w:rsidR="00562BCB" w:rsidRPr="0077566E" w:rsidRDefault="00562BCB" w:rsidP="001C3261">
            <w:pPr>
              <w:pStyle w:val="TableParagraph"/>
              <w:spacing w:before="0" w:line="321" w:lineRule="exact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регулювання</w:t>
            </w:r>
          </w:p>
        </w:tc>
        <w:tc>
          <w:tcPr>
            <w:tcW w:w="1134" w:type="dxa"/>
          </w:tcPr>
          <w:p w:rsidR="00562BCB" w:rsidRPr="0077566E" w:rsidRDefault="00562BCB" w:rsidP="001C3261">
            <w:pPr>
              <w:pStyle w:val="TableParagraph"/>
              <w:spacing w:before="0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562BCB" w:rsidRPr="0077566E" w:rsidRDefault="00562BCB" w:rsidP="001C3261">
            <w:pPr>
              <w:pStyle w:val="TableParagraph"/>
              <w:spacing w:before="0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</w:tcPr>
          <w:p w:rsidR="00562BCB" w:rsidRPr="0077566E" w:rsidRDefault="00562BCB" w:rsidP="001C3261">
            <w:pPr>
              <w:pStyle w:val="TableParagraph"/>
              <w:spacing w:before="0"/>
              <w:ind w:left="13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6" w:type="dxa"/>
          </w:tcPr>
          <w:p w:rsidR="00562BCB" w:rsidRPr="0077566E" w:rsidRDefault="00562BCB" w:rsidP="001C3261">
            <w:pPr>
              <w:pStyle w:val="TableParagraph"/>
              <w:spacing w:before="0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1588"/>
        </w:trPr>
        <w:tc>
          <w:tcPr>
            <w:tcW w:w="2491" w:type="dxa"/>
          </w:tcPr>
          <w:p w:rsidR="00562BCB" w:rsidRPr="0077566E" w:rsidRDefault="00562BCB" w:rsidP="001C3261">
            <w:pPr>
              <w:pStyle w:val="TableParagraph"/>
              <w:spacing w:before="0"/>
              <w:ind w:right="109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 xml:space="preserve">2. Поточний контроль за </w:t>
            </w:r>
            <w:r w:rsidR="001C3261" w:rsidRPr="0077566E">
              <w:rPr>
                <w:sz w:val="24"/>
                <w:szCs w:val="24"/>
                <w:lang w:val="uk-UA"/>
              </w:rPr>
              <w:t>с</w:t>
            </w:r>
            <w:r w:rsidRPr="0077566E">
              <w:rPr>
                <w:sz w:val="24"/>
                <w:szCs w:val="24"/>
                <w:lang w:val="uk-UA"/>
              </w:rPr>
              <w:t>уб’єктом</w:t>
            </w:r>
          </w:p>
          <w:p w:rsidR="00562BCB" w:rsidRPr="0077566E" w:rsidRDefault="00562BCB" w:rsidP="001C3261">
            <w:pPr>
              <w:pStyle w:val="TableParagraph"/>
              <w:spacing w:before="0"/>
              <w:ind w:right="9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господарювання, що перебуває у сфері</w:t>
            </w:r>
          </w:p>
          <w:p w:rsidR="00562BCB" w:rsidRPr="0077566E" w:rsidRDefault="00562BCB" w:rsidP="001C3261">
            <w:pPr>
              <w:pStyle w:val="TableParagraph"/>
              <w:spacing w:before="0"/>
              <w:ind w:right="73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регулювання, у тому числі:</w:t>
            </w:r>
          </w:p>
        </w:tc>
        <w:tc>
          <w:tcPr>
            <w:tcW w:w="1134" w:type="dxa"/>
          </w:tcPr>
          <w:p w:rsidR="00562BCB" w:rsidRPr="0077566E" w:rsidRDefault="00562BCB" w:rsidP="001C3261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562BCB" w:rsidRPr="0077566E" w:rsidRDefault="00562BCB" w:rsidP="001C3261">
            <w:pPr>
              <w:pStyle w:val="TableParagraph"/>
              <w:spacing w:before="0"/>
              <w:ind w:left="68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</w:tcPr>
          <w:p w:rsidR="00562BCB" w:rsidRPr="0077566E" w:rsidRDefault="00562BCB" w:rsidP="001C3261">
            <w:pPr>
              <w:pStyle w:val="TableParagraph"/>
              <w:spacing w:before="0"/>
              <w:ind w:left="73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6" w:type="dxa"/>
          </w:tcPr>
          <w:p w:rsidR="00562BCB" w:rsidRPr="0077566E" w:rsidRDefault="00562BCB" w:rsidP="001C3261">
            <w:pPr>
              <w:pStyle w:val="TableParagraph"/>
              <w:spacing w:before="0"/>
              <w:ind w:left="52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208"/>
        </w:trPr>
        <w:tc>
          <w:tcPr>
            <w:tcW w:w="2491" w:type="dxa"/>
          </w:tcPr>
          <w:p w:rsidR="00562BCB" w:rsidRPr="0077566E" w:rsidRDefault="00562BCB" w:rsidP="001C3261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камеральні</w:t>
            </w:r>
          </w:p>
        </w:tc>
        <w:tc>
          <w:tcPr>
            <w:tcW w:w="1134" w:type="dxa"/>
          </w:tcPr>
          <w:p w:rsidR="00562BCB" w:rsidRPr="0077566E" w:rsidRDefault="00562BCB" w:rsidP="001C3261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562BCB" w:rsidRPr="0077566E" w:rsidRDefault="00562BCB" w:rsidP="001C3261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562BCB" w:rsidRPr="0077566E" w:rsidRDefault="00562BCB" w:rsidP="001C3261">
            <w:pPr>
              <w:pStyle w:val="TableParagraph"/>
              <w:spacing w:before="0"/>
              <w:ind w:left="68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</w:tcPr>
          <w:p w:rsidR="00562BCB" w:rsidRPr="0077566E" w:rsidRDefault="00562BCB" w:rsidP="001C3261">
            <w:pPr>
              <w:pStyle w:val="TableParagraph"/>
              <w:spacing w:before="0"/>
              <w:ind w:left="73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6" w:type="dxa"/>
          </w:tcPr>
          <w:p w:rsidR="00562BCB" w:rsidRPr="0077566E" w:rsidRDefault="00562BCB" w:rsidP="001C3261">
            <w:pPr>
              <w:pStyle w:val="TableParagraph"/>
              <w:spacing w:before="0"/>
              <w:ind w:left="52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157"/>
        </w:trPr>
        <w:tc>
          <w:tcPr>
            <w:tcW w:w="2491" w:type="dxa"/>
          </w:tcPr>
          <w:p w:rsidR="004C090A" w:rsidRPr="0077566E" w:rsidRDefault="004C090A" w:rsidP="004C090A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виїзні</w:t>
            </w:r>
          </w:p>
        </w:tc>
        <w:tc>
          <w:tcPr>
            <w:tcW w:w="1134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4C090A" w:rsidRPr="0077566E" w:rsidRDefault="004C090A" w:rsidP="004C090A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4C090A" w:rsidRPr="0077566E" w:rsidRDefault="004C090A" w:rsidP="004C090A">
            <w:pPr>
              <w:pStyle w:val="TableParagraph"/>
              <w:spacing w:before="0"/>
              <w:ind w:left="68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</w:tcPr>
          <w:p w:rsidR="004C090A" w:rsidRPr="0077566E" w:rsidRDefault="004C090A" w:rsidP="004C090A">
            <w:pPr>
              <w:pStyle w:val="TableParagraph"/>
              <w:spacing w:before="0"/>
              <w:ind w:left="73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6" w:type="dxa"/>
          </w:tcPr>
          <w:p w:rsidR="004C090A" w:rsidRPr="0077566E" w:rsidRDefault="004C090A" w:rsidP="004C090A">
            <w:pPr>
              <w:pStyle w:val="TableParagraph"/>
              <w:spacing w:before="0"/>
              <w:ind w:left="52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1588"/>
        </w:trPr>
        <w:tc>
          <w:tcPr>
            <w:tcW w:w="2491" w:type="dxa"/>
          </w:tcPr>
          <w:p w:rsidR="004C090A" w:rsidRPr="0077566E" w:rsidRDefault="004C090A" w:rsidP="004C090A">
            <w:pPr>
              <w:pStyle w:val="TableParagraph"/>
              <w:spacing w:before="0" w:line="242" w:lineRule="auto"/>
              <w:ind w:right="59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3. Підготовка, затвердження та</w:t>
            </w:r>
          </w:p>
          <w:p w:rsidR="004C090A" w:rsidRPr="0077566E" w:rsidRDefault="004C090A" w:rsidP="004C090A">
            <w:pPr>
              <w:pStyle w:val="TableParagraph"/>
              <w:spacing w:before="0"/>
              <w:ind w:right="6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опрацювання одного окремого акта про порушення вимог</w:t>
            </w:r>
          </w:p>
          <w:p w:rsidR="004C090A" w:rsidRPr="0077566E" w:rsidRDefault="004C090A" w:rsidP="004C090A">
            <w:pPr>
              <w:pStyle w:val="TableParagraph"/>
              <w:spacing w:before="0" w:line="318" w:lineRule="exact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регулювання</w:t>
            </w:r>
          </w:p>
        </w:tc>
        <w:tc>
          <w:tcPr>
            <w:tcW w:w="1134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4C090A" w:rsidRPr="0077566E" w:rsidRDefault="004C090A" w:rsidP="004C090A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4C090A" w:rsidRPr="0077566E" w:rsidRDefault="004C090A" w:rsidP="004C090A">
            <w:pPr>
              <w:pStyle w:val="TableParagraph"/>
              <w:spacing w:before="0"/>
              <w:ind w:left="68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</w:tcPr>
          <w:p w:rsidR="004C090A" w:rsidRPr="0077566E" w:rsidRDefault="004C090A" w:rsidP="004C090A">
            <w:pPr>
              <w:pStyle w:val="TableParagraph"/>
              <w:spacing w:before="0"/>
              <w:ind w:left="73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6" w:type="dxa"/>
          </w:tcPr>
          <w:p w:rsidR="004C090A" w:rsidRPr="0077566E" w:rsidRDefault="004C090A" w:rsidP="004C090A">
            <w:pPr>
              <w:pStyle w:val="TableParagraph"/>
              <w:spacing w:before="0"/>
              <w:ind w:left="52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1238"/>
        </w:trPr>
        <w:tc>
          <w:tcPr>
            <w:tcW w:w="2491" w:type="dxa"/>
          </w:tcPr>
          <w:p w:rsidR="004C090A" w:rsidRPr="0077566E" w:rsidRDefault="004C090A" w:rsidP="004C090A">
            <w:pPr>
              <w:pStyle w:val="TableParagraph"/>
              <w:spacing w:before="0"/>
              <w:ind w:right="165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1134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4C090A" w:rsidRPr="0077566E" w:rsidRDefault="004C090A" w:rsidP="004C090A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4C090A" w:rsidRPr="0077566E" w:rsidRDefault="004C090A" w:rsidP="004C090A">
            <w:pPr>
              <w:pStyle w:val="TableParagraph"/>
              <w:spacing w:before="0"/>
              <w:ind w:left="68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</w:tcPr>
          <w:p w:rsidR="004C090A" w:rsidRPr="0077566E" w:rsidRDefault="004C090A" w:rsidP="004C090A">
            <w:pPr>
              <w:pStyle w:val="TableParagraph"/>
              <w:spacing w:before="0"/>
              <w:ind w:left="73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6" w:type="dxa"/>
          </w:tcPr>
          <w:p w:rsidR="004C090A" w:rsidRPr="0077566E" w:rsidRDefault="004C090A" w:rsidP="004C090A">
            <w:pPr>
              <w:pStyle w:val="TableParagraph"/>
              <w:spacing w:before="0"/>
              <w:ind w:left="52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1028"/>
        </w:trPr>
        <w:tc>
          <w:tcPr>
            <w:tcW w:w="2491" w:type="dxa"/>
          </w:tcPr>
          <w:p w:rsidR="004C090A" w:rsidRPr="0077566E" w:rsidRDefault="004C090A" w:rsidP="004C090A">
            <w:pPr>
              <w:pStyle w:val="TableParagraph"/>
              <w:spacing w:before="0"/>
              <w:ind w:right="169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1134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4C090A" w:rsidRPr="0077566E" w:rsidRDefault="004C090A" w:rsidP="004C090A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4C090A" w:rsidRPr="0077566E" w:rsidRDefault="004C090A" w:rsidP="004C090A">
            <w:pPr>
              <w:pStyle w:val="TableParagraph"/>
              <w:spacing w:before="0"/>
              <w:ind w:left="68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</w:tcPr>
          <w:p w:rsidR="004C090A" w:rsidRPr="0077566E" w:rsidRDefault="004C090A" w:rsidP="004C090A">
            <w:pPr>
              <w:pStyle w:val="TableParagraph"/>
              <w:spacing w:before="0"/>
              <w:ind w:left="73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6" w:type="dxa"/>
          </w:tcPr>
          <w:p w:rsidR="004C090A" w:rsidRPr="0077566E" w:rsidRDefault="004C090A" w:rsidP="004C090A">
            <w:pPr>
              <w:pStyle w:val="TableParagraph"/>
              <w:spacing w:before="0"/>
              <w:ind w:left="52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1122"/>
        </w:trPr>
        <w:tc>
          <w:tcPr>
            <w:tcW w:w="2491" w:type="dxa"/>
          </w:tcPr>
          <w:p w:rsidR="004C090A" w:rsidRPr="0077566E" w:rsidRDefault="004C090A" w:rsidP="004C090A">
            <w:pPr>
              <w:pStyle w:val="TableParagraph"/>
              <w:spacing w:before="0"/>
              <w:ind w:right="943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6. Підготовка звітності за результатами регулювання</w:t>
            </w:r>
          </w:p>
        </w:tc>
        <w:tc>
          <w:tcPr>
            <w:tcW w:w="1134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4C090A" w:rsidRPr="0077566E" w:rsidRDefault="004C090A" w:rsidP="004C090A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4C090A" w:rsidRPr="0077566E" w:rsidRDefault="004C090A" w:rsidP="004C090A">
            <w:pPr>
              <w:pStyle w:val="TableParagraph"/>
              <w:spacing w:before="0"/>
              <w:ind w:left="68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</w:tcPr>
          <w:p w:rsidR="004C090A" w:rsidRPr="0077566E" w:rsidRDefault="004C090A" w:rsidP="004C090A">
            <w:pPr>
              <w:pStyle w:val="TableParagraph"/>
              <w:spacing w:before="0"/>
              <w:ind w:left="73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6" w:type="dxa"/>
          </w:tcPr>
          <w:p w:rsidR="004C090A" w:rsidRPr="0077566E" w:rsidRDefault="004C090A" w:rsidP="004C090A">
            <w:pPr>
              <w:pStyle w:val="TableParagraph"/>
              <w:spacing w:before="0"/>
              <w:ind w:left="52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1032"/>
        </w:trPr>
        <w:tc>
          <w:tcPr>
            <w:tcW w:w="2491" w:type="dxa"/>
          </w:tcPr>
          <w:p w:rsidR="004C090A" w:rsidRPr="0077566E" w:rsidRDefault="004C090A" w:rsidP="004C090A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7. Інші</w:t>
            </w:r>
          </w:p>
          <w:p w:rsidR="004C090A" w:rsidRPr="0077566E" w:rsidRDefault="004C090A" w:rsidP="004C090A">
            <w:pPr>
              <w:pStyle w:val="TableParagraph"/>
              <w:spacing w:before="0"/>
              <w:ind w:right="663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адміністративні процедури (уточнити):</w:t>
            </w:r>
          </w:p>
        </w:tc>
        <w:tc>
          <w:tcPr>
            <w:tcW w:w="1134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4C090A" w:rsidRPr="0077566E" w:rsidRDefault="004C090A" w:rsidP="004C090A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4C090A" w:rsidRPr="0077566E" w:rsidRDefault="004C090A" w:rsidP="004C090A">
            <w:pPr>
              <w:pStyle w:val="TableParagraph"/>
              <w:spacing w:before="0"/>
              <w:ind w:left="68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</w:tcPr>
          <w:p w:rsidR="004C090A" w:rsidRPr="0077566E" w:rsidRDefault="004C090A" w:rsidP="004C090A">
            <w:pPr>
              <w:pStyle w:val="TableParagraph"/>
              <w:spacing w:before="0"/>
              <w:ind w:left="73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6" w:type="dxa"/>
          </w:tcPr>
          <w:p w:rsidR="004C090A" w:rsidRPr="0077566E" w:rsidRDefault="004C090A" w:rsidP="004C090A">
            <w:pPr>
              <w:pStyle w:val="TableParagraph"/>
              <w:spacing w:before="0"/>
              <w:ind w:left="52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60"/>
        </w:trPr>
        <w:tc>
          <w:tcPr>
            <w:tcW w:w="2491" w:type="dxa"/>
          </w:tcPr>
          <w:p w:rsidR="004C090A" w:rsidRPr="0077566E" w:rsidRDefault="004C090A" w:rsidP="004C090A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1134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559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417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560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566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127"/>
        </w:trPr>
        <w:tc>
          <w:tcPr>
            <w:tcW w:w="2491" w:type="dxa"/>
          </w:tcPr>
          <w:p w:rsidR="004C090A" w:rsidRPr="0077566E" w:rsidRDefault="004C090A" w:rsidP="004C090A">
            <w:pPr>
              <w:pStyle w:val="TableParagraph"/>
              <w:spacing w:before="0"/>
              <w:ind w:right="501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Сумарно за п’ять років</w:t>
            </w:r>
          </w:p>
        </w:tc>
        <w:tc>
          <w:tcPr>
            <w:tcW w:w="1134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559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417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560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566" w:type="dxa"/>
          </w:tcPr>
          <w:p w:rsidR="004C090A" w:rsidRPr="0077566E" w:rsidRDefault="004C090A" w:rsidP="004C090A">
            <w:pPr>
              <w:pStyle w:val="TableParagraph"/>
              <w:spacing w:before="0"/>
              <w:ind w:left="594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1141F5" w:rsidRPr="0077566E" w:rsidRDefault="00D15A93" w:rsidP="00D15A93">
      <w:pPr>
        <w:pStyle w:val="af3"/>
        <w:tabs>
          <w:tab w:val="left" w:pos="567"/>
          <w:tab w:val="left" w:pos="4630"/>
          <w:tab w:val="left" w:pos="5142"/>
          <w:tab w:val="left" w:pos="7135"/>
          <w:tab w:val="left" w:pos="9023"/>
        </w:tabs>
        <w:spacing w:line="242" w:lineRule="auto"/>
        <w:ind w:right="204"/>
        <w:rPr>
          <w:rFonts w:ascii="Times New Roman" w:hAnsi="Times New Roman" w:cs="Times New Roman"/>
          <w:sz w:val="24"/>
          <w:szCs w:val="24"/>
        </w:rPr>
      </w:pPr>
      <w:r w:rsidRPr="0077566E">
        <w:rPr>
          <w:rFonts w:ascii="Times New Roman" w:hAnsi="Times New Roman" w:cs="Times New Roman"/>
          <w:sz w:val="24"/>
          <w:szCs w:val="24"/>
        </w:rPr>
        <w:tab/>
      </w:r>
    </w:p>
    <w:p w:rsidR="00562BCB" w:rsidRPr="0077566E" w:rsidRDefault="001141F5" w:rsidP="004C090A">
      <w:pPr>
        <w:pStyle w:val="af3"/>
        <w:tabs>
          <w:tab w:val="left" w:pos="709"/>
          <w:tab w:val="left" w:pos="4630"/>
          <w:tab w:val="left" w:pos="5142"/>
          <w:tab w:val="left" w:pos="7135"/>
          <w:tab w:val="left" w:pos="9023"/>
        </w:tabs>
        <w:spacing w:line="242" w:lineRule="auto"/>
        <w:ind w:right="-1"/>
        <w:rPr>
          <w:sz w:val="28"/>
          <w:szCs w:val="28"/>
        </w:rPr>
      </w:pPr>
      <w:r w:rsidRPr="0077566E">
        <w:rPr>
          <w:rFonts w:ascii="Times New Roman" w:hAnsi="Times New Roman" w:cs="Times New Roman"/>
          <w:sz w:val="24"/>
          <w:szCs w:val="24"/>
        </w:rPr>
        <w:tab/>
      </w:r>
      <w:r w:rsidR="00562BCB" w:rsidRPr="0077566E">
        <w:rPr>
          <w:rFonts w:ascii="Times New Roman" w:hAnsi="Times New Roman" w:cs="Times New Roman"/>
          <w:sz w:val="28"/>
          <w:szCs w:val="28"/>
        </w:rPr>
        <w:t>Державне</w:t>
      </w:r>
      <w:r w:rsidR="00562BCB" w:rsidRPr="0077566E">
        <w:rPr>
          <w:sz w:val="28"/>
          <w:szCs w:val="28"/>
        </w:rPr>
        <w:t xml:space="preserve"> </w:t>
      </w:r>
      <w:r w:rsidR="00562BCB" w:rsidRPr="0077566E">
        <w:rPr>
          <w:rFonts w:ascii="Times New Roman" w:hAnsi="Times New Roman" w:cs="Times New Roman"/>
          <w:sz w:val="28"/>
          <w:szCs w:val="28"/>
        </w:rPr>
        <w:t>регулювання</w:t>
      </w:r>
      <w:r w:rsidR="00562BCB" w:rsidRPr="0077566E">
        <w:rPr>
          <w:sz w:val="28"/>
          <w:szCs w:val="28"/>
        </w:rPr>
        <w:t xml:space="preserve"> </w:t>
      </w:r>
      <w:r w:rsidR="00562BCB" w:rsidRPr="0077566E">
        <w:rPr>
          <w:rFonts w:ascii="Times New Roman" w:hAnsi="Times New Roman" w:cs="Times New Roman"/>
          <w:sz w:val="28"/>
          <w:szCs w:val="28"/>
        </w:rPr>
        <w:t>не</w:t>
      </w:r>
      <w:r w:rsidR="00562BCB" w:rsidRPr="0077566E">
        <w:rPr>
          <w:sz w:val="28"/>
          <w:szCs w:val="28"/>
        </w:rPr>
        <w:t xml:space="preserve"> </w:t>
      </w:r>
      <w:r w:rsidR="00562BCB" w:rsidRPr="0077566E">
        <w:rPr>
          <w:rFonts w:ascii="Times New Roman" w:hAnsi="Times New Roman" w:cs="Times New Roman"/>
          <w:sz w:val="28"/>
          <w:szCs w:val="28"/>
        </w:rPr>
        <w:t>передбачає</w:t>
      </w:r>
      <w:r w:rsidR="00562BCB" w:rsidRPr="0077566E">
        <w:rPr>
          <w:sz w:val="28"/>
          <w:szCs w:val="28"/>
        </w:rPr>
        <w:t xml:space="preserve"> </w:t>
      </w:r>
      <w:r w:rsidR="00562BCB" w:rsidRPr="0077566E">
        <w:rPr>
          <w:rFonts w:ascii="Times New Roman" w:hAnsi="Times New Roman" w:cs="Times New Roman"/>
          <w:sz w:val="28"/>
          <w:szCs w:val="28"/>
        </w:rPr>
        <w:t>утворення</w:t>
      </w:r>
      <w:r w:rsidR="00562BCB" w:rsidRPr="0077566E">
        <w:rPr>
          <w:sz w:val="28"/>
          <w:szCs w:val="28"/>
        </w:rPr>
        <w:t xml:space="preserve"> </w:t>
      </w:r>
      <w:r w:rsidR="00562BCB" w:rsidRPr="0077566E">
        <w:rPr>
          <w:rFonts w:ascii="Times New Roman" w:hAnsi="Times New Roman" w:cs="Times New Roman"/>
          <w:sz w:val="28"/>
          <w:szCs w:val="28"/>
        </w:rPr>
        <w:t>нового державного органу (або нового структурного підрозділу діючого</w:t>
      </w:r>
      <w:r w:rsidR="00562BCB" w:rsidRPr="0077566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62BCB" w:rsidRPr="0077566E">
        <w:rPr>
          <w:rFonts w:ascii="Times New Roman" w:hAnsi="Times New Roman" w:cs="Times New Roman"/>
          <w:sz w:val="28"/>
          <w:szCs w:val="28"/>
        </w:rPr>
        <w:t>органу)</w:t>
      </w:r>
    </w:p>
    <w:tbl>
      <w:tblPr>
        <w:tblStyle w:val="TableNormal"/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339"/>
        <w:gridCol w:w="2040"/>
        <w:gridCol w:w="2417"/>
        <w:gridCol w:w="2714"/>
      </w:tblGrid>
      <w:tr w:rsidR="004C090A" w:rsidRPr="0077566E" w:rsidTr="004C090A">
        <w:trPr>
          <w:trHeight w:val="1201"/>
        </w:trPr>
        <w:tc>
          <w:tcPr>
            <w:tcW w:w="2467" w:type="dxa"/>
            <w:gridSpan w:val="2"/>
            <w:tcBorders>
              <w:left w:val="single" w:sz="4" w:space="0" w:color="auto"/>
            </w:tcBorders>
          </w:tcPr>
          <w:p w:rsidR="00562BCB" w:rsidRPr="0077566E" w:rsidRDefault="00562BCB" w:rsidP="00D15A93">
            <w:pPr>
              <w:pStyle w:val="TableParagraph"/>
              <w:spacing w:before="0"/>
              <w:ind w:left="105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lastRenderedPageBreak/>
              <w:t>Порядковий номер</w:t>
            </w:r>
          </w:p>
        </w:tc>
        <w:tc>
          <w:tcPr>
            <w:tcW w:w="2040" w:type="dxa"/>
          </w:tcPr>
          <w:p w:rsidR="00562BCB" w:rsidRPr="0077566E" w:rsidRDefault="00562BCB" w:rsidP="00D15A93">
            <w:pPr>
              <w:pStyle w:val="TableParagraph"/>
              <w:spacing w:before="0" w:line="242" w:lineRule="auto"/>
              <w:ind w:left="317" w:right="286" w:firstLine="355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Назва державного</w:t>
            </w:r>
          </w:p>
          <w:p w:rsidR="00562BCB" w:rsidRPr="0077566E" w:rsidRDefault="00562BCB" w:rsidP="00D15A93">
            <w:pPr>
              <w:pStyle w:val="TableParagraph"/>
              <w:spacing w:before="0" w:line="315" w:lineRule="exact"/>
              <w:ind w:left="614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органу</w:t>
            </w:r>
          </w:p>
        </w:tc>
        <w:tc>
          <w:tcPr>
            <w:tcW w:w="2417" w:type="dxa"/>
          </w:tcPr>
          <w:p w:rsidR="00562BCB" w:rsidRPr="0077566E" w:rsidRDefault="00D15A93" w:rsidP="00D15A93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 xml:space="preserve">Витрати на </w:t>
            </w:r>
            <w:r w:rsidR="00562BCB" w:rsidRPr="0077566E">
              <w:rPr>
                <w:b/>
                <w:sz w:val="24"/>
                <w:szCs w:val="24"/>
                <w:lang w:val="uk-UA"/>
              </w:rPr>
              <w:t xml:space="preserve">адміністрування </w:t>
            </w:r>
            <w:r w:rsidRPr="0077566E">
              <w:rPr>
                <w:b/>
                <w:sz w:val="24"/>
                <w:szCs w:val="24"/>
                <w:lang w:val="uk-UA"/>
              </w:rPr>
              <w:t xml:space="preserve">регулювання за рік, </w:t>
            </w:r>
            <w:r w:rsidR="00562BCB" w:rsidRPr="0077566E">
              <w:rPr>
                <w:b/>
                <w:sz w:val="24"/>
                <w:szCs w:val="24"/>
                <w:lang w:val="uk-UA"/>
              </w:rPr>
              <w:t>гривень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562BCB" w:rsidRPr="0077566E" w:rsidRDefault="00562BCB" w:rsidP="00D15A93">
            <w:pPr>
              <w:pStyle w:val="TableParagraph"/>
              <w:spacing w:before="0" w:line="242" w:lineRule="auto"/>
              <w:ind w:left="51" w:right="37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Сумарні витрати на адміністрування</w:t>
            </w:r>
          </w:p>
          <w:p w:rsidR="00562BCB" w:rsidRPr="0077566E" w:rsidRDefault="00562BCB" w:rsidP="00D15A93">
            <w:pPr>
              <w:pStyle w:val="TableParagraph"/>
              <w:spacing w:before="0" w:line="237" w:lineRule="auto"/>
              <w:ind w:left="51" w:right="104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регулювання за п’ять років, гривень</w:t>
            </w:r>
          </w:p>
        </w:tc>
      </w:tr>
      <w:tr w:rsidR="004C090A" w:rsidRPr="0077566E" w:rsidTr="004C090A">
        <w:trPr>
          <w:trHeight w:val="450"/>
        </w:trPr>
        <w:tc>
          <w:tcPr>
            <w:tcW w:w="1128" w:type="dxa"/>
            <w:tcBorders>
              <w:right w:val="nil"/>
            </w:tcBorders>
          </w:tcPr>
          <w:p w:rsidR="00562BCB" w:rsidRPr="0077566E" w:rsidRDefault="00562BCB" w:rsidP="001C3261">
            <w:pPr>
              <w:pStyle w:val="TableParagraph"/>
              <w:spacing w:before="0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vMerge w:val="restart"/>
            <w:tcBorders>
              <w:left w:val="nil"/>
            </w:tcBorders>
          </w:tcPr>
          <w:p w:rsidR="00562BCB" w:rsidRPr="0077566E" w:rsidRDefault="00562BCB" w:rsidP="001C3261">
            <w:pPr>
              <w:pStyle w:val="TableParagraph"/>
              <w:spacing w:before="0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vMerge w:val="restart"/>
          </w:tcPr>
          <w:p w:rsidR="00562BCB" w:rsidRPr="0077566E" w:rsidRDefault="00562BCB" w:rsidP="001C3261">
            <w:pPr>
              <w:pStyle w:val="TableParagraph"/>
              <w:ind w:left="13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7" w:type="dxa"/>
            <w:vMerge w:val="restart"/>
          </w:tcPr>
          <w:p w:rsidR="00562BCB" w:rsidRPr="0077566E" w:rsidRDefault="00562BCB" w:rsidP="001C3261">
            <w:pPr>
              <w:pStyle w:val="TableParagraph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714" w:type="dxa"/>
            <w:vMerge w:val="restart"/>
          </w:tcPr>
          <w:p w:rsidR="00562BCB" w:rsidRPr="0077566E" w:rsidRDefault="00562BCB" w:rsidP="001C3261">
            <w:pPr>
              <w:pStyle w:val="TableParagraph"/>
              <w:ind w:left="17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90"/>
        </w:trPr>
        <w:tc>
          <w:tcPr>
            <w:tcW w:w="1128" w:type="dxa"/>
            <w:tcBorders>
              <w:right w:val="nil"/>
            </w:tcBorders>
          </w:tcPr>
          <w:p w:rsidR="00562BCB" w:rsidRPr="0077566E" w:rsidRDefault="00562BCB" w:rsidP="001C3261">
            <w:pPr>
              <w:pStyle w:val="TableParagraph"/>
              <w:spacing w:before="0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562BCB" w:rsidRPr="0077566E" w:rsidRDefault="00562BCB" w:rsidP="001C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562BCB" w:rsidRPr="0077566E" w:rsidRDefault="00562BCB" w:rsidP="001C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562BCB" w:rsidRPr="0077566E" w:rsidRDefault="00562BCB" w:rsidP="001C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562BCB" w:rsidRPr="0077566E" w:rsidRDefault="00562BCB" w:rsidP="001C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90A" w:rsidRPr="0077566E" w:rsidTr="004C090A">
        <w:trPr>
          <w:trHeight w:val="1654"/>
        </w:trPr>
        <w:tc>
          <w:tcPr>
            <w:tcW w:w="2467" w:type="dxa"/>
            <w:gridSpan w:val="2"/>
          </w:tcPr>
          <w:p w:rsidR="00562BCB" w:rsidRPr="0077566E" w:rsidRDefault="00562BCB" w:rsidP="00D15A93">
            <w:pPr>
              <w:pStyle w:val="TableParagraph"/>
              <w:spacing w:before="0" w:line="242" w:lineRule="auto"/>
              <w:ind w:left="6" w:right="136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Сумарно бюджетні витрати на адміністрування регулювання суб’єктів малого підприємництва</w:t>
            </w:r>
          </w:p>
        </w:tc>
        <w:tc>
          <w:tcPr>
            <w:tcW w:w="2040" w:type="dxa"/>
          </w:tcPr>
          <w:p w:rsidR="00562BCB" w:rsidRPr="0077566E" w:rsidRDefault="00562BCB" w:rsidP="001C3261">
            <w:pPr>
              <w:pStyle w:val="TableParagraph"/>
              <w:ind w:left="13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7" w:type="dxa"/>
          </w:tcPr>
          <w:p w:rsidR="00562BCB" w:rsidRPr="0077566E" w:rsidRDefault="00562BCB" w:rsidP="001C3261">
            <w:pPr>
              <w:pStyle w:val="TableParagraph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714" w:type="dxa"/>
          </w:tcPr>
          <w:p w:rsidR="00562BCB" w:rsidRPr="0077566E" w:rsidRDefault="00562BCB" w:rsidP="001C3261">
            <w:pPr>
              <w:pStyle w:val="TableParagraph"/>
              <w:ind w:left="17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562BCB" w:rsidRPr="0077566E" w:rsidRDefault="00562BCB" w:rsidP="004C090A">
      <w:pPr>
        <w:pStyle w:val="a5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6" w:line="240" w:lineRule="auto"/>
        <w:ind w:left="0" w:right="205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hAnsi="Times New Roman" w:cs="Times New Roman"/>
          <w:sz w:val="28"/>
          <w:szCs w:val="28"/>
        </w:rPr>
        <w:t>Розрахунок сумарних витрат суб’єктів малого підприємництва, що виникають на виконання вимог</w:t>
      </w:r>
      <w:r w:rsidRPr="007756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566E">
        <w:rPr>
          <w:rFonts w:ascii="Times New Roman" w:hAnsi="Times New Roman" w:cs="Times New Roman"/>
          <w:sz w:val="28"/>
          <w:szCs w:val="28"/>
        </w:rPr>
        <w:t>регулювання</w:t>
      </w:r>
    </w:p>
    <w:tbl>
      <w:tblPr>
        <w:tblStyle w:val="TableNormal"/>
        <w:tblW w:w="965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3969"/>
        <w:gridCol w:w="2977"/>
        <w:gridCol w:w="1211"/>
      </w:tblGrid>
      <w:tr w:rsidR="004C090A" w:rsidRPr="0077566E" w:rsidTr="004C090A">
        <w:trPr>
          <w:trHeight w:val="728"/>
        </w:trPr>
        <w:tc>
          <w:tcPr>
            <w:tcW w:w="1498" w:type="dxa"/>
          </w:tcPr>
          <w:p w:rsidR="00562BCB" w:rsidRPr="0077566E" w:rsidRDefault="00D15A93" w:rsidP="00D15A93">
            <w:pPr>
              <w:pStyle w:val="TableParagraph"/>
              <w:ind w:left="0" w:right="14" w:firstLine="37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 xml:space="preserve">Порядковий </w:t>
            </w:r>
            <w:r w:rsidR="00562BCB" w:rsidRPr="0077566E">
              <w:rPr>
                <w:b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3969" w:type="dxa"/>
          </w:tcPr>
          <w:p w:rsidR="00562BCB" w:rsidRPr="0077566E" w:rsidRDefault="00562BCB" w:rsidP="00A22679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977" w:type="dxa"/>
          </w:tcPr>
          <w:p w:rsidR="00562BCB" w:rsidRPr="0077566E" w:rsidRDefault="00562BCB" w:rsidP="00D15A93">
            <w:pPr>
              <w:pStyle w:val="TableParagraph"/>
              <w:ind w:left="66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Перший рік  регулювання (стартовий)</w:t>
            </w:r>
          </w:p>
        </w:tc>
        <w:tc>
          <w:tcPr>
            <w:tcW w:w="1211" w:type="dxa"/>
          </w:tcPr>
          <w:p w:rsidR="00562BCB" w:rsidRPr="0077566E" w:rsidRDefault="00562BCB" w:rsidP="00D15A93">
            <w:pPr>
              <w:pStyle w:val="TableParagraph"/>
              <w:ind w:left="67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За п’ять років</w:t>
            </w:r>
          </w:p>
        </w:tc>
      </w:tr>
      <w:tr w:rsidR="004C090A" w:rsidRPr="0077566E" w:rsidTr="004C090A">
        <w:trPr>
          <w:trHeight w:val="981"/>
        </w:trPr>
        <w:tc>
          <w:tcPr>
            <w:tcW w:w="1498" w:type="dxa"/>
          </w:tcPr>
          <w:p w:rsidR="00562BCB" w:rsidRPr="0077566E" w:rsidRDefault="00562BCB" w:rsidP="00D15A93">
            <w:pPr>
              <w:pStyle w:val="TableParagraph"/>
              <w:spacing w:before="0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562BCB" w:rsidRPr="0077566E" w:rsidRDefault="00562BCB" w:rsidP="00D15A93">
            <w:pPr>
              <w:pStyle w:val="TableParagraph"/>
              <w:spacing w:before="0"/>
              <w:ind w:right="483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977" w:type="dxa"/>
            <w:vAlign w:val="center"/>
          </w:tcPr>
          <w:p w:rsidR="00562BCB" w:rsidRPr="0077566E" w:rsidRDefault="00562BCB" w:rsidP="00B63F9F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11" w:type="dxa"/>
          </w:tcPr>
          <w:p w:rsidR="00562BCB" w:rsidRPr="0077566E" w:rsidRDefault="00562BCB" w:rsidP="00D15A93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1123"/>
        </w:trPr>
        <w:tc>
          <w:tcPr>
            <w:tcW w:w="1498" w:type="dxa"/>
          </w:tcPr>
          <w:p w:rsidR="00562BCB" w:rsidRPr="0077566E" w:rsidRDefault="00562BCB" w:rsidP="00D15A93">
            <w:pPr>
              <w:pStyle w:val="TableParagraph"/>
              <w:spacing w:before="0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562BCB" w:rsidRPr="0077566E" w:rsidRDefault="00562BCB" w:rsidP="00D15A93">
            <w:pPr>
              <w:pStyle w:val="TableParagraph"/>
              <w:spacing w:before="0" w:line="322" w:lineRule="exact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Оцінка вартості</w:t>
            </w:r>
          </w:p>
          <w:p w:rsidR="00562BCB" w:rsidRPr="0077566E" w:rsidRDefault="00562BCB" w:rsidP="00D15A93">
            <w:pPr>
              <w:pStyle w:val="TableParagraph"/>
              <w:spacing w:before="0"/>
              <w:ind w:right="88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977" w:type="dxa"/>
            <w:vAlign w:val="center"/>
          </w:tcPr>
          <w:p w:rsidR="00562BCB" w:rsidRPr="0077566E" w:rsidRDefault="00562BCB" w:rsidP="00B63F9F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11" w:type="dxa"/>
          </w:tcPr>
          <w:p w:rsidR="00562BCB" w:rsidRPr="0077566E" w:rsidRDefault="00562BCB" w:rsidP="00D15A93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847"/>
        </w:trPr>
        <w:tc>
          <w:tcPr>
            <w:tcW w:w="1498" w:type="dxa"/>
          </w:tcPr>
          <w:p w:rsidR="00562BCB" w:rsidRPr="0077566E" w:rsidRDefault="00562BCB" w:rsidP="00D15A93">
            <w:pPr>
              <w:pStyle w:val="TableParagraph"/>
              <w:spacing w:before="0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562BCB" w:rsidRPr="0077566E" w:rsidRDefault="00562BCB" w:rsidP="00D15A93">
            <w:pPr>
              <w:pStyle w:val="TableParagraph"/>
              <w:spacing w:before="0"/>
              <w:ind w:right="318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2977" w:type="dxa"/>
            <w:vAlign w:val="center"/>
          </w:tcPr>
          <w:p w:rsidR="00562BCB" w:rsidRPr="0077566E" w:rsidRDefault="00562BCB" w:rsidP="00B63F9F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11" w:type="dxa"/>
          </w:tcPr>
          <w:p w:rsidR="00562BCB" w:rsidRPr="0077566E" w:rsidRDefault="00562BCB" w:rsidP="00D15A93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847"/>
        </w:trPr>
        <w:tc>
          <w:tcPr>
            <w:tcW w:w="1498" w:type="dxa"/>
          </w:tcPr>
          <w:p w:rsidR="00562BCB" w:rsidRPr="0077566E" w:rsidRDefault="00562BCB" w:rsidP="00D15A93">
            <w:pPr>
              <w:pStyle w:val="TableParagraph"/>
              <w:spacing w:before="0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562BCB" w:rsidRPr="0077566E" w:rsidRDefault="00562BCB" w:rsidP="00D15A93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Бюджетні витрати на адміністрування</w:t>
            </w:r>
          </w:p>
          <w:p w:rsidR="00562BCB" w:rsidRPr="0077566E" w:rsidRDefault="00562BCB" w:rsidP="00D15A93">
            <w:pPr>
              <w:pStyle w:val="TableParagraph"/>
              <w:spacing w:before="0" w:line="237" w:lineRule="auto"/>
              <w:ind w:right="547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регулювання суб’єктів малого підприємництва</w:t>
            </w:r>
          </w:p>
        </w:tc>
        <w:tc>
          <w:tcPr>
            <w:tcW w:w="2977" w:type="dxa"/>
            <w:vAlign w:val="center"/>
          </w:tcPr>
          <w:p w:rsidR="00562BCB" w:rsidRPr="0077566E" w:rsidRDefault="00562BCB" w:rsidP="00B63F9F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11" w:type="dxa"/>
          </w:tcPr>
          <w:p w:rsidR="00562BCB" w:rsidRPr="0077566E" w:rsidRDefault="00562BCB" w:rsidP="00D15A93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515"/>
        </w:trPr>
        <w:tc>
          <w:tcPr>
            <w:tcW w:w="1498" w:type="dxa"/>
          </w:tcPr>
          <w:p w:rsidR="00562BCB" w:rsidRPr="0077566E" w:rsidRDefault="00562BCB" w:rsidP="00D15A93">
            <w:pPr>
              <w:pStyle w:val="TableParagraph"/>
              <w:spacing w:before="0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562BCB" w:rsidRPr="0077566E" w:rsidRDefault="00562BCB" w:rsidP="00D15A93">
            <w:pPr>
              <w:pStyle w:val="TableParagraph"/>
              <w:spacing w:before="0"/>
              <w:ind w:right="318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2977" w:type="dxa"/>
            <w:vAlign w:val="center"/>
          </w:tcPr>
          <w:p w:rsidR="00562BCB" w:rsidRPr="0077566E" w:rsidRDefault="00562BCB" w:rsidP="00B63F9F">
            <w:pPr>
              <w:pStyle w:val="TableParagraph"/>
              <w:spacing w:before="0"/>
              <w:ind w:left="13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11" w:type="dxa"/>
          </w:tcPr>
          <w:p w:rsidR="00562BCB" w:rsidRPr="0077566E" w:rsidRDefault="00562BCB" w:rsidP="00D15A93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562BCB" w:rsidRPr="0077566E" w:rsidRDefault="00562BCB" w:rsidP="004C090A">
      <w:pPr>
        <w:pStyle w:val="a5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6" w:line="240" w:lineRule="auto"/>
        <w:ind w:left="0" w:right="205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566E">
        <w:rPr>
          <w:rFonts w:ascii="Times New Roman" w:hAnsi="Times New Roman" w:cs="Times New Roman"/>
          <w:sz w:val="28"/>
          <w:szCs w:val="28"/>
        </w:rPr>
        <w:t xml:space="preserve">Розроблення корегуючих (пом’якшувальних) заходів для </w:t>
      </w:r>
      <w:r w:rsidRPr="004C090A">
        <w:rPr>
          <w:rFonts w:ascii="Times New Roman" w:hAnsi="Times New Roman" w:cs="Times New Roman"/>
          <w:sz w:val="28"/>
          <w:szCs w:val="28"/>
        </w:rPr>
        <w:t xml:space="preserve">малого </w:t>
      </w:r>
      <w:r w:rsidRPr="0077566E">
        <w:rPr>
          <w:rFonts w:ascii="Times New Roman" w:hAnsi="Times New Roman" w:cs="Times New Roman"/>
          <w:sz w:val="28"/>
          <w:szCs w:val="28"/>
        </w:rPr>
        <w:t>підприємництва щодо запропонованого</w:t>
      </w:r>
      <w:r w:rsidRPr="004C090A">
        <w:rPr>
          <w:rFonts w:ascii="Times New Roman" w:hAnsi="Times New Roman" w:cs="Times New Roman"/>
          <w:sz w:val="28"/>
          <w:szCs w:val="28"/>
        </w:rPr>
        <w:t xml:space="preserve"> </w:t>
      </w:r>
      <w:r w:rsidRPr="0077566E">
        <w:rPr>
          <w:rFonts w:ascii="Times New Roman" w:hAnsi="Times New Roman" w:cs="Times New Roman"/>
          <w:sz w:val="28"/>
          <w:szCs w:val="28"/>
        </w:rPr>
        <w:t>регулювання</w:t>
      </w:r>
    </w:p>
    <w:tbl>
      <w:tblPr>
        <w:tblStyle w:val="TableNormal"/>
        <w:tblW w:w="965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2835"/>
        <w:gridCol w:w="2910"/>
      </w:tblGrid>
      <w:tr w:rsidR="004C090A" w:rsidRPr="0077566E" w:rsidTr="004C090A">
        <w:trPr>
          <w:trHeight w:val="1525"/>
        </w:trPr>
        <w:tc>
          <w:tcPr>
            <w:tcW w:w="3908" w:type="dxa"/>
            <w:vAlign w:val="center"/>
          </w:tcPr>
          <w:p w:rsidR="00562BCB" w:rsidRPr="0077566E" w:rsidRDefault="00562BCB" w:rsidP="00856E5B">
            <w:pPr>
              <w:pStyle w:val="TableParagraph"/>
              <w:ind w:right="-2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835" w:type="dxa"/>
            <w:vAlign w:val="center"/>
          </w:tcPr>
          <w:p w:rsidR="00562BCB" w:rsidRPr="0077566E" w:rsidRDefault="00562BCB" w:rsidP="00856E5B">
            <w:pPr>
              <w:pStyle w:val="TableParagraph"/>
              <w:spacing w:line="242" w:lineRule="auto"/>
              <w:ind w:left="2" w:right="184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Сумарні витрати малого підприємництва на виконання запланованого регулювання за перший рік, гривень</w:t>
            </w:r>
          </w:p>
        </w:tc>
        <w:tc>
          <w:tcPr>
            <w:tcW w:w="2910" w:type="dxa"/>
            <w:vAlign w:val="center"/>
          </w:tcPr>
          <w:p w:rsidR="00562BCB" w:rsidRPr="0077566E" w:rsidRDefault="00562BCB" w:rsidP="00856E5B">
            <w:pPr>
              <w:pStyle w:val="TableParagraph"/>
              <w:spacing w:line="242" w:lineRule="auto"/>
              <w:ind w:left="132" w:right="116"/>
              <w:jc w:val="center"/>
              <w:rPr>
                <w:b/>
                <w:sz w:val="24"/>
                <w:szCs w:val="24"/>
                <w:lang w:val="uk-UA"/>
              </w:rPr>
            </w:pPr>
            <w:r w:rsidRPr="0077566E">
              <w:rPr>
                <w:b/>
                <w:sz w:val="24"/>
                <w:szCs w:val="24"/>
                <w:lang w:val="uk-UA"/>
              </w:rPr>
              <w:t>Сумарні витрати малого підприємництва на виконання запланованого регулювання за п’ять років, гривень</w:t>
            </w:r>
          </w:p>
        </w:tc>
      </w:tr>
      <w:tr w:rsidR="004C090A" w:rsidRPr="0077566E" w:rsidTr="004C090A">
        <w:trPr>
          <w:trHeight w:val="258"/>
        </w:trPr>
        <w:tc>
          <w:tcPr>
            <w:tcW w:w="3908" w:type="dxa"/>
          </w:tcPr>
          <w:p w:rsidR="00562BCB" w:rsidRPr="0077566E" w:rsidRDefault="00562BCB" w:rsidP="00D15A93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Заплановане регулювання</w:t>
            </w:r>
          </w:p>
        </w:tc>
        <w:tc>
          <w:tcPr>
            <w:tcW w:w="2835" w:type="dxa"/>
          </w:tcPr>
          <w:p w:rsidR="00562BCB" w:rsidRPr="0077566E" w:rsidRDefault="00562BCB" w:rsidP="00D15A93">
            <w:pPr>
              <w:pStyle w:val="TableParagraph"/>
              <w:spacing w:before="0"/>
              <w:ind w:left="10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910" w:type="dxa"/>
          </w:tcPr>
          <w:p w:rsidR="00562BCB" w:rsidRPr="0077566E" w:rsidRDefault="00562BCB" w:rsidP="00D15A93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622"/>
        </w:trPr>
        <w:tc>
          <w:tcPr>
            <w:tcW w:w="3908" w:type="dxa"/>
          </w:tcPr>
          <w:p w:rsidR="00562BCB" w:rsidRPr="0077566E" w:rsidRDefault="00562BCB" w:rsidP="00D15A93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За умов застосування компенсаторних механізмів для малого підприємництва</w:t>
            </w:r>
          </w:p>
        </w:tc>
        <w:tc>
          <w:tcPr>
            <w:tcW w:w="2835" w:type="dxa"/>
          </w:tcPr>
          <w:p w:rsidR="00562BCB" w:rsidRPr="0077566E" w:rsidRDefault="00562BCB" w:rsidP="00D15A93">
            <w:pPr>
              <w:pStyle w:val="TableParagraph"/>
              <w:spacing w:before="0"/>
              <w:ind w:left="10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910" w:type="dxa"/>
          </w:tcPr>
          <w:p w:rsidR="00562BCB" w:rsidRPr="0077566E" w:rsidRDefault="00562BCB" w:rsidP="00D15A93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  <w:tr w:rsidR="004C090A" w:rsidRPr="0077566E" w:rsidTr="004C090A">
        <w:trPr>
          <w:trHeight w:val="269"/>
        </w:trPr>
        <w:tc>
          <w:tcPr>
            <w:tcW w:w="3908" w:type="dxa"/>
          </w:tcPr>
          <w:p w:rsidR="00562BCB" w:rsidRPr="0077566E" w:rsidRDefault="00562BCB" w:rsidP="00D15A93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Сумарно: зміна вартості регулювання малого підприємництва</w:t>
            </w:r>
          </w:p>
        </w:tc>
        <w:tc>
          <w:tcPr>
            <w:tcW w:w="2835" w:type="dxa"/>
          </w:tcPr>
          <w:p w:rsidR="00562BCB" w:rsidRPr="0077566E" w:rsidRDefault="00562BCB" w:rsidP="00D15A93">
            <w:pPr>
              <w:pStyle w:val="TableParagraph"/>
              <w:spacing w:before="0"/>
              <w:ind w:left="10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910" w:type="dxa"/>
          </w:tcPr>
          <w:p w:rsidR="00562BCB" w:rsidRPr="0077566E" w:rsidRDefault="00562BCB" w:rsidP="00D15A93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  <w:lang w:val="uk-UA"/>
              </w:rPr>
            </w:pPr>
            <w:r w:rsidRPr="0077566E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562BCB" w:rsidRPr="0077566E" w:rsidRDefault="00562BCB" w:rsidP="00D15A93">
      <w:pPr>
        <w:tabs>
          <w:tab w:val="left" w:pos="25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2BCB" w:rsidRPr="0077566E" w:rsidSect="00C537EC"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D1" w:rsidRDefault="002523D1" w:rsidP="00251483">
      <w:pPr>
        <w:spacing w:after="0" w:line="240" w:lineRule="auto"/>
      </w:pPr>
      <w:r>
        <w:separator/>
      </w:r>
    </w:p>
  </w:endnote>
  <w:endnote w:type="continuationSeparator" w:id="0">
    <w:p w:rsidR="002523D1" w:rsidRDefault="002523D1" w:rsidP="0025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D1" w:rsidRDefault="002523D1" w:rsidP="00251483">
      <w:pPr>
        <w:spacing w:after="0" w:line="240" w:lineRule="auto"/>
      </w:pPr>
      <w:r>
        <w:separator/>
      </w:r>
    </w:p>
  </w:footnote>
  <w:footnote w:type="continuationSeparator" w:id="0">
    <w:p w:rsidR="002523D1" w:rsidRDefault="002523D1" w:rsidP="00251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93A"/>
    <w:multiLevelType w:val="hybridMultilevel"/>
    <w:tmpl w:val="B08696B4"/>
    <w:lvl w:ilvl="0" w:tplc="1A4298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A35774"/>
    <w:multiLevelType w:val="hybridMultilevel"/>
    <w:tmpl w:val="83EC6CA8"/>
    <w:lvl w:ilvl="0" w:tplc="FE4AF8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7846F2"/>
    <w:multiLevelType w:val="hybridMultilevel"/>
    <w:tmpl w:val="6C267600"/>
    <w:lvl w:ilvl="0" w:tplc="06D20DA2">
      <w:numFmt w:val="bullet"/>
      <w:lvlText w:val="–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5854265"/>
    <w:multiLevelType w:val="hybridMultilevel"/>
    <w:tmpl w:val="1B725774"/>
    <w:lvl w:ilvl="0" w:tplc="EC0072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3196E"/>
    <w:multiLevelType w:val="hybridMultilevel"/>
    <w:tmpl w:val="CF905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77F8"/>
    <w:multiLevelType w:val="hybridMultilevel"/>
    <w:tmpl w:val="FE2C6D3C"/>
    <w:lvl w:ilvl="0" w:tplc="64360A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1347A31"/>
    <w:multiLevelType w:val="hybridMultilevel"/>
    <w:tmpl w:val="45F8AD96"/>
    <w:lvl w:ilvl="0" w:tplc="BDAACF54">
      <w:numFmt w:val="bullet"/>
      <w:lvlText w:val="–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BCF67F0"/>
    <w:multiLevelType w:val="hybridMultilevel"/>
    <w:tmpl w:val="8F9866D2"/>
    <w:lvl w:ilvl="0" w:tplc="01544D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6A29EB"/>
    <w:multiLevelType w:val="hybridMultilevel"/>
    <w:tmpl w:val="58262164"/>
    <w:lvl w:ilvl="0" w:tplc="264EF9F8">
      <w:numFmt w:val="bullet"/>
      <w:lvlText w:val="–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DBE0098"/>
    <w:multiLevelType w:val="hybridMultilevel"/>
    <w:tmpl w:val="E4B23E24"/>
    <w:lvl w:ilvl="0" w:tplc="610A4DB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B1788"/>
    <w:multiLevelType w:val="hybridMultilevel"/>
    <w:tmpl w:val="5308B2BC"/>
    <w:lvl w:ilvl="0" w:tplc="3E10667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A9B4FF9"/>
    <w:multiLevelType w:val="hybridMultilevel"/>
    <w:tmpl w:val="4828A4F6"/>
    <w:lvl w:ilvl="0" w:tplc="EC32C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22BC"/>
    <w:multiLevelType w:val="hybridMultilevel"/>
    <w:tmpl w:val="31F4A334"/>
    <w:lvl w:ilvl="0" w:tplc="7BB8E4C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E3950"/>
    <w:multiLevelType w:val="hybridMultilevel"/>
    <w:tmpl w:val="B2E0E5F6"/>
    <w:lvl w:ilvl="0" w:tplc="9AA2C99A">
      <w:numFmt w:val="bullet"/>
      <w:lvlText w:val="–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FE489C"/>
    <w:multiLevelType w:val="hybridMultilevel"/>
    <w:tmpl w:val="63C8663E"/>
    <w:lvl w:ilvl="0" w:tplc="1A545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7769B5"/>
    <w:multiLevelType w:val="hybridMultilevel"/>
    <w:tmpl w:val="14EC0A10"/>
    <w:lvl w:ilvl="0" w:tplc="8034ACEC">
      <w:start w:val="1"/>
      <w:numFmt w:val="decimal"/>
      <w:lvlText w:val="%1."/>
      <w:lvlJc w:val="left"/>
      <w:pPr>
        <w:ind w:left="65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7125622">
      <w:start w:val="5"/>
      <w:numFmt w:val="upperRoman"/>
      <w:lvlText w:val="%2."/>
      <w:lvlJc w:val="left"/>
      <w:pPr>
        <w:ind w:left="202" w:hanging="45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2" w:tplc="D9AC4E76">
      <w:start w:val="1"/>
      <w:numFmt w:val="decimal"/>
      <w:lvlText w:val="%3."/>
      <w:lvlJc w:val="left"/>
      <w:pPr>
        <w:ind w:left="2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66646324">
      <w:numFmt w:val="bullet"/>
      <w:lvlText w:val="•"/>
      <w:lvlJc w:val="left"/>
      <w:pPr>
        <w:ind w:left="2745" w:hanging="329"/>
      </w:pPr>
      <w:rPr>
        <w:rFonts w:hint="default"/>
        <w:lang w:val="ru-RU" w:eastAsia="ru-RU" w:bidi="ru-RU"/>
      </w:rPr>
    </w:lvl>
    <w:lvl w:ilvl="4" w:tplc="CBB6A282">
      <w:numFmt w:val="bullet"/>
      <w:lvlText w:val="•"/>
      <w:lvlJc w:val="left"/>
      <w:pPr>
        <w:ind w:left="3788" w:hanging="329"/>
      </w:pPr>
      <w:rPr>
        <w:rFonts w:hint="default"/>
        <w:lang w:val="ru-RU" w:eastAsia="ru-RU" w:bidi="ru-RU"/>
      </w:rPr>
    </w:lvl>
    <w:lvl w:ilvl="5" w:tplc="C972AD0E">
      <w:numFmt w:val="bullet"/>
      <w:lvlText w:val="•"/>
      <w:lvlJc w:val="left"/>
      <w:pPr>
        <w:ind w:left="4831" w:hanging="329"/>
      </w:pPr>
      <w:rPr>
        <w:rFonts w:hint="default"/>
        <w:lang w:val="ru-RU" w:eastAsia="ru-RU" w:bidi="ru-RU"/>
      </w:rPr>
    </w:lvl>
    <w:lvl w:ilvl="6" w:tplc="A62C8E54">
      <w:numFmt w:val="bullet"/>
      <w:lvlText w:val="•"/>
      <w:lvlJc w:val="left"/>
      <w:pPr>
        <w:ind w:left="5874" w:hanging="329"/>
      </w:pPr>
      <w:rPr>
        <w:rFonts w:hint="default"/>
        <w:lang w:val="ru-RU" w:eastAsia="ru-RU" w:bidi="ru-RU"/>
      </w:rPr>
    </w:lvl>
    <w:lvl w:ilvl="7" w:tplc="A7141778">
      <w:numFmt w:val="bullet"/>
      <w:lvlText w:val="•"/>
      <w:lvlJc w:val="left"/>
      <w:pPr>
        <w:ind w:left="6917" w:hanging="329"/>
      </w:pPr>
      <w:rPr>
        <w:rFonts w:hint="default"/>
        <w:lang w:val="ru-RU" w:eastAsia="ru-RU" w:bidi="ru-RU"/>
      </w:rPr>
    </w:lvl>
    <w:lvl w:ilvl="8" w:tplc="B13CCB60">
      <w:numFmt w:val="bullet"/>
      <w:lvlText w:val="•"/>
      <w:lvlJc w:val="left"/>
      <w:pPr>
        <w:ind w:left="7960" w:hanging="329"/>
      </w:pPr>
      <w:rPr>
        <w:rFonts w:hint="default"/>
        <w:lang w:val="ru-RU" w:eastAsia="ru-RU" w:bidi="ru-RU"/>
      </w:rPr>
    </w:lvl>
  </w:abstractNum>
  <w:abstractNum w:abstractNumId="16" w15:restartNumberingAfterBreak="0">
    <w:nsid w:val="5FC5589B"/>
    <w:multiLevelType w:val="hybridMultilevel"/>
    <w:tmpl w:val="AA7856E4"/>
    <w:lvl w:ilvl="0" w:tplc="8DE075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0F27B97"/>
    <w:multiLevelType w:val="hybridMultilevel"/>
    <w:tmpl w:val="F1B2DA88"/>
    <w:lvl w:ilvl="0" w:tplc="3EE0A0D8">
      <w:start w:val="4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8" w15:restartNumberingAfterBreak="0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2"/>
  </w:num>
  <w:num w:numId="5">
    <w:abstractNumId w:val="12"/>
  </w:num>
  <w:num w:numId="6">
    <w:abstractNumId w:val="8"/>
  </w:num>
  <w:num w:numId="7">
    <w:abstractNumId w:val="16"/>
  </w:num>
  <w:num w:numId="8">
    <w:abstractNumId w:val="11"/>
  </w:num>
  <w:num w:numId="9">
    <w:abstractNumId w:val="0"/>
  </w:num>
  <w:num w:numId="10">
    <w:abstractNumId w:val="9"/>
  </w:num>
  <w:num w:numId="11">
    <w:abstractNumId w:val="14"/>
  </w:num>
  <w:num w:numId="12">
    <w:abstractNumId w:val="5"/>
  </w:num>
  <w:num w:numId="13">
    <w:abstractNumId w:val="10"/>
  </w:num>
  <w:num w:numId="14">
    <w:abstractNumId w:val="4"/>
  </w:num>
  <w:num w:numId="15">
    <w:abstractNumId w:val="1"/>
  </w:num>
  <w:num w:numId="16">
    <w:abstractNumId w:val="15"/>
  </w:num>
  <w:num w:numId="17">
    <w:abstractNumId w:val="17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70"/>
    <w:rsid w:val="000021F0"/>
    <w:rsid w:val="00005518"/>
    <w:rsid w:val="000079B1"/>
    <w:rsid w:val="00013033"/>
    <w:rsid w:val="000134F4"/>
    <w:rsid w:val="00015349"/>
    <w:rsid w:val="00022ED4"/>
    <w:rsid w:val="000252E2"/>
    <w:rsid w:val="00027FE9"/>
    <w:rsid w:val="00035BB6"/>
    <w:rsid w:val="0003605E"/>
    <w:rsid w:val="00037C7A"/>
    <w:rsid w:val="00037D07"/>
    <w:rsid w:val="00040B59"/>
    <w:rsid w:val="0004780C"/>
    <w:rsid w:val="0005115D"/>
    <w:rsid w:val="00064316"/>
    <w:rsid w:val="000648C1"/>
    <w:rsid w:val="00070B36"/>
    <w:rsid w:val="00070EA5"/>
    <w:rsid w:val="00082B2D"/>
    <w:rsid w:val="00084FE9"/>
    <w:rsid w:val="00085B46"/>
    <w:rsid w:val="000860B0"/>
    <w:rsid w:val="00096177"/>
    <w:rsid w:val="000A062C"/>
    <w:rsid w:val="000B1753"/>
    <w:rsid w:val="000B1817"/>
    <w:rsid w:val="000B5068"/>
    <w:rsid w:val="000C0D12"/>
    <w:rsid w:val="000C2792"/>
    <w:rsid w:val="000D1524"/>
    <w:rsid w:val="000D1CFC"/>
    <w:rsid w:val="000D533D"/>
    <w:rsid w:val="000D5634"/>
    <w:rsid w:val="000E1DA8"/>
    <w:rsid w:val="000E2AE3"/>
    <w:rsid w:val="000E44F0"/>
    <w:rsid w:val="000E4B35"/>
    <w:rsid w:val="000F3B1E"/>
    <w:rsid w:val="000F4DC8"/>
    <w:rsid w:val="000F6EAA"/>
    <w:rsid w:val="000F7063"/>
    <w:rsid w:val="00100172"/>
    <w:rsid w:val="0010231C"/>
    <w:rsid w:val="001051C4"/>
    <w:rsid w:val="00106058"/>
    <w:rsid w:val="00113248"/>
    <w:rsid w:val="001135BE"/>
    <w:rsid w:val="001141F5"/>
    <w:rsid w:val="0011599E"/>
    <w:rsid w:val="00117B82"/>
    <w:rsid w:val="00123600"/>
    <w:rsid w:val="00124015"/>
    <w:rsid w:val="00130849"/>
    <w:rsid w:val="00131606"/>
    <w:rsid w:val="00133068"/>
    <w:rsid w:val="00133DF7"/>
    <w:rsid w:val="00135161"/>
    <w:rsid w:val="0013562B"/>
    <w:rsid w:val="00152B24"/>
    <w:rsid w:val="00173CA5"/>
    <w:rsid w:val="00180183"/>
    <w:rsid w:val="0018048B"/>
    <w:rsid w:val="00180E18"/>
    <w:rsid w:val="00181FF2"/>
    <w:rsid w:val="00184075"/>
    <w:rsid w:val="001930C0"/>
    <w:rsid w:val="00193960"/>
    <w:rsid w:val="00195C24"/>
    <w:rsid w:val="00196690"/>
    <w:rsid w:val="001A257E"/>
    <w:rsid w:val="001A25A0"/>
    <w:rsid w:val="001A4516"/>
    <w:rsid w:val="001A68E1"/>
    <w:rsid w:val="001B0A9C"/>
    <w:rsid w:val="001B6315"/>
    <w:rsid w:val="001B7B4E"/>
    <w:rsid w:val="001C0012"/>
    <w:rsid w:val="001C2CE3"/>
    <w:rsid w:val="001C3261"/>
    <w:rsid w:val="001C3781"/>
    <w:rsid w:val="001C593B"/>
    <w:rsid w:val="001D4A97"/>
    <w:rsid w:val="001D51A3"/>
    <w:rsid w:val="001E029E"/>
    <w:rsid w:val="001E03DA"/>
    <w:rsid w:val="001E250C"/>
    <w:rsid w:val="001E4945"/>
    <w:rsid w:val="001E7411"/>
    <w:rsid w:val="001F0BD0"/>
    <w:rsid w:val="001F0DAC"/>
    <w:rsid w:val="001F10A5"/>
    <w:rsid w:val="001F1DA4"/>
    <w:rsid w:val="001F1F58"/>
    <w:rsid w:val="001F5480"/>
    <w:rsid w:val="001F7D9A"/>
    <w:rsid w:val="00200C33"/>
    <w:rsid w:val="00201024"/>
    <w:rsid w:val="002068B2"/>
    <w:rsid w:val="00210C12"/>
    <w:rsid w:val="00210DF6"/>
    <w:rsid w:val="00211116"/>
    <w:rsid w:val="002122C9"/>
    <w:rsid w:val="002208D1"/>
    <w:rsid w:val="00225223"/>
    <w:rsid w:val="00225342"/>
    <w:rsid w:val="00232F4F"/>
    <w:rsid w:val="00233354"/>
    <w:rsid w:val="00235084"/>
    <w:rsid w:val="00236F49"/>
    <w:rsid w:val="00250017"/>
    <w:rsid w:val="00251483"/>
    <w:rsid w:val="002523D1"/>
    <w:rsid w:val="002607DE"/>
    <w:rsid w:val="00265030"/>
    <w:rsid w:val="0027467A"/>
    <w:rsid w:val="002775EF"/>
    <w:rsid w:val="00284B69"/>
    <w:rsid w:val="00294031"/>
    <w:rsid w:val="00294A7F"/>
    <w:rsid w:val="00295AD3"/>
    <w:rsid w:val="002A09B7"/>
    <w:rsid w:val="002A167C"/>
    <w:rsid w:val="002A5618"/>
    <w:rsid w:val="002A7FA2"/>
    <w:rsid w:val="002B7B86"/>
    <w:rsid w:val="002C2489"/>
    <w:rsid w:val="002C2824"/>
    <w:rsid w:val="002C387D"/>
    <w:rsid w:val="002C3975"/>
    <w:rsid w:val="002C48B3"/>
    <w:rsid w:val="002C6AA5"/>
    <w:rsid w:val="002D4D47"/>
    <w:rsid w:val="002D4DD9"/>
    <w:rsid w:val="002E2A24"/>
    <w:rsid w:val="002E5185"/>
    <w:rsid w:val="002E67FD"/>
    <w:rsid w:val="002F2F84"/>
    <w:rsid w:val="002F4392"/>
    <w:rsid w:val="002F7BC3"/>
    <w:rsid w:val="00301632"/>
    <w:rsid w:val="00304543"/>
    <w:rsid w:val="00306788"/>
    <w:rsid w:val="00316F04"/>
    <w:rsid w:val="00323622"/>
    <w:rsid w:val="00324610"/>
    <w:rsid w:val="00335EAB"/>
    <w:rsid w:val="00336699"/>
    <w:rsid w:val="003406D3"/>
    <w:rsid w:val="0034543B"/>
    <w:rsid w:val="0034564E"/>
    <w:rsid w:val="00345FBF"/>
    <w:rsid w:val="00347A58"/>
    <w:rsid w:val="0035275E"/>
    <w:rsid w:val="00365EF9"/>
    <w:rsid w:val="00374333"/>
    <w:rsid w:val="00374904"/>
    <w:rsid w:val="0037554A"/>
    <w:rsid w:val="003772B8"/>
    <w:rsid w:val="003859EE"/>
    <w:rsid w:val="00386A54"/>
    <w:rsid w:val="003926BF"/>
    <w:rsid w:val="0039702A"/>
    <w:rsid w:val="003A0508"/>
    <w:rsid w:val="003A294B"/>
    <w:rsid w:val="003B2DDF"/>
    <w:rsid w:val="003B7570"/>
    <w:rsid w:val="003B7CF7"/>
    <w:rsid w:val="003C2DC3"/>
    <w:rsid w:val="003C35E9"/>
    <w:rsid w:val="003D1380"/>
    <w:rsid w:val="003F0C00"/>
    <w:rsid w:val="003F1A10"/>
    <w:rsid w:val="003F2E4F"/>
    <w:rsid w:val="003F5AAA"/>
    <w:rsid w:val="003F77D1"/>
    <w:rsid w:val="004030A0"/>
    <w:rsid w:val="00403583"/>
    <w:rsid w:val="0040518F"/>
    <w:rsid w:val="00414861"/>
    <w:rsid w:val="00416A30"/>
    <w:rsid w:val="0043090B"/>
    <w:rsid w:val="0043132F"/>
    <w:rsid w:val="004320AA"/>
    <w:rsid w:val="00434028"/>
    <w:rsid w:val="004355A7"/>
    <w:rsid w:val="00440410"/>
    <w:rsid w:val="00451F52"/>
    <w:rsid w:val="0045295B"/>
    <w:rsid w:val="004531F8"/>
    <w:rsid w:val="00464284"/>
    <w:rsid w:val="004767FE"/>
    <w:rsid w:val="00477D86"/>
    <w:rsid w:val="0049283A"/>
    <w:rsid w:val="004A0F85"/>
    <w:rsid w:val="004A643A"/>
    <w:rsid w:val="004B0CE2"/>
    <w:rsid w:val="004B130B"/>
    <w:rsid w:val="004B1D81"/>
    <w:rsid w:val="004B23E1"/>
    <w:rsid w:val="004B279D"/>
    <w:rsid w:val="004B2DFC"/>
    <w:rsid w:val="004B3740"/>
    <w:rsid w:val="004B5E51"/>
    <w:rsid w:val="004B6C5E"/>
    <w:rsid w:val="004C058D"/>
    <w:rsid w:val="004C090A"/>
    <w:rsid w:val="004C4F8E"/>
    <w:rsid w:val="004D011C"/>
    <w:rsid w:val="004D02BF"/>
    <w:rsid w:val="004D29CC"/>
    <w:rsid w:val="004E3442"/>
    <w:rsid w:val="004E43CD"/>
    <w:rsid w:val="004E5A3A"/>
    <w:rsid w:val="004F0467"/>
    <w:rsid w:val="004F5398"/>
    <w:rsid w:val="005004DD"/>
    <w:rsid w:val="00516208"/>
    <w:rsid w:val="005213FD"/>
    <w:rsid w:val="0053020D"/>
    <w:rsid w:val="00532D10"/>
    <w:rsid w:val="00534654"/>
    <w:rsid w:val="00535080"/>
    <w:rsid w:val="0055570D"/>
    <w:rsid w:val="005610B4"/>
    <w:rsid w:val="00562A95"/>
    <w:rsid w:val="00562BCB"/>
    <w:rsid w:val="005653DE"/>
    <w:rsid w:val="00565CB1"/>
    <w:rsid w:val="00577F44"/>
    <w:rsid w:val="00582539"/>
    <w:rsid w:val="0059011C"/>
    <w:rsid w:val="00590B87"/>
    <w:rsid w:val="0059427F"/>
    <w:rsid w:val="005A2BFA"/>
    <w:rsid w:val="005A3B27"/>
    <w:rsid w:val="005A55D3"/>
    <w:rsid w:val="005A74DD"/>
    <w:rsid w:val="005B279C"/>
    <w:rsid w:val="005B2D7B"/>
    <w:rsid w:val="005B7786"/>
    <w:rsid w:val="005B77DE"/>
    <w:rsid w:val="005C21DF"/>
    <w:rsid w:val="005C2B6E"/>
    <w:rsid w:val="005C6880"/>
    <w:rsid w:val="005D24CF"/>
    <w:rsid w:val="005E3D29"/>
    <w:rsid w:val="005F0615"/>
    <w:rsid w:val="005F2ABB"/>
    <w:rsid w:val="005F5183"/>
    <w:rsid w:val="005F7B1A"/>
    <w:rsid w:val="00602F0F"/>
    <w:rsid w:val="00610197"/>
    <w:rsid w:val="00612AC4"/>
    <w:rsid w:val="006132A4"/>
    <w:rsid w:val="00614F4F"/>
    <w:rsid w:val="00615B0B"/>
    <w:rsid w:val="00622650"/>
    <w:rsid w:val="00624BE8"/>
    <w:rsid w:val="00624D3B"/>
    <w:rsid w:val="00624E0F"/>
    <w:rsid w:val="00630F34"/>
    <w:rsid w:val="00631474"/>
    <w:rsid w:val="006319AB"/>
    <w:rsid w:val="00632FF7"/>
    <w:rsid w:val="006330B8"/>
    <w:rsid w:val="00633DF9"/>
    <w:rsid w:val="00635350"/>
    <w:rsid w:val="006441B7"/>
    <w:rsid w:val="0064623A"/>
    <w:rsid w:val="00646CE4"/>
    <w:rsid w:val="006719DC"/>
    <w:rsid w:val="00672FC9"/>
    <w:rsid w:val="0068109B"/>
    <w:rsid w:val="00685719"/>
    <w:rsid w:val="006A1257"/>
    <w:rsid w:val="006B1AD7"/>
    <w:rsid w:val="006B2713"/>
    <w:rsid w:val="006B3503"/>
    <w:rsid w:val="006C6172"/>
    <w:rsid w:val="006D5B9B"/>
    <w:rsid w:val="006E02FF"/>
    <w:rsid w:val="006E0411"/>
    <w:rsid w:val="006E5E78"/>
    <w:rsid w:val="006F2051"/>
    <w:rsid w:val="006F4353"/>
    <w:rsid w:val="006F58AC"/>
    <w:rsid w:val="007065D4"/>
    <w:rsid w:val="00710316"/>
    <w:rsid w:val="00712CBB"/>
    <w:rsid w:val="00713454"/>
    <w:rsid w:val="00713DE7"/>
    <w:rsid w:val="00724501"/>
    <w:rsid w:val="00724CF8"/>
    <w:rsid w:val="00725D2B"/>
    <w:rsid w:val="00732E6D"/>
    <w:rsid w:val="0073306E"/>
    <w:rsid w:val="0073440F"/>
    <w:rsid w:val="00740EAC"/>
    <w:rsid w:val="00742D5E"/>
    <w:rsid w:val="0075037C"/>
    <w:rsid w:val="007535F8"/>
    <w:rsid w:val="00761104"/>
    <w:rsid w:val="007618BF"/>
    <w:rsid w:val="00766639"/>
    <w:rsid w:val="00766A92"/>
    <w:rsid w:val="007672BE"/>
    <w:rsid w:val="007726BB"/>
    <w:rsid w:val="0077566E"/>
    <w:rsid w:val="00783AA4"/>
    <w:rsid w:val="00791BA3"/>
    <w:rsid w:val="00793358"/>
    <w:rsid w:val="007939B9"/>
    <w:rsid w:val="007A02EF"/>
    <w:rsid w:val="007A1714"/>
    <w:rsid w:val="007A7C58"/>
    <w:rsid w:val="007B0895"/>
    <w:rsid w:val="007B1C59"/>
    <w:rsid w:val="007B358E"/>
    <w:rsid w:val="007B3B81"/>
    <w:rsid w:val="007C147C"/>
    <w:rsid w:val="007C32BC"/>
    <w:rsid w:val="007C430E"/>
    <w:rsid w:val="007C50A4"/>
    <w:rsid w:val="007C732C"/>
    <w:rsid w:val="007D07B8"/>
    <w:rsid w:val="007D2034"/>
    <w:rsid w:val="007D3DA6"/>
    <w:rsid w:val="007D4324"/>
    <w:rsid w:val="007D475F"/>
    <w:rsid w:val="007D6FF1"/>
    <w:rsid w:val="007D71DA"/>
    <w:rsid w:val="007F01F8"/>
    <w:rsid w:val="007F338B"/>
    <w:rsid w:val="00800B51"/>
    <w:rsid w:val="008030D8"/>
    <w:rsid w:val="008106FD"/>
    <w:rsid w:val="00821D98"/>
    <w:rsid w:val="0082408E"/>
    <w:rsid w:val="008261F9"/>
    <w:rsid w:val="0083194F"/>
    <w:rsid w:val="00835574"/>
    <w:rsid w:val="008355D7"/>
    <w:rsid w:val="00842498"/>
    <w:rsid w:val="00847B6B"/>
    <w:rsid w:val="00855889"/>
    <w:rsid w:val="00856E5B"/>
    <w:rsid w:val="00866711"/>
    <w:rsid w:val="00876878"/>
    <w:rsid w:val="00877526"/>
    <w:rsid w:val="00883D91"/>
    <w:rsid w:val="0089114F"/>
    <w:rsid w:val="008938A8"/>
    <w:rsid w:val="00894A47"/>
    <w:rsid w:val="008A4E27"/>
    <w:rsid w:val="008B3796"/>
    <w:rsid w:val="008B6781"/>
    <w:rsid w:val="008C0872"/>
    <w:rsid w:val="008C5A7C"/>
    <w:rsid w:val="008C60DA"/>
    <w:rsid w:val="008C6B5E"/>
    <w:rsid w:val="008D0FE8"/>
    <w:rsid w:val="008D11C7"/>
    <w:rsid w:val="008D7F3D"/>
    <w:rsid w:val="008E600B"/>
    <w:rsid w:val="008E6808"/>
    <w:rsid w:val="008F19D2"/>
    <w:rsid w:val="008F1D70"/>
    <w:rsid w:val="008F2A0D"/>
    <w:rsid w:val="008F2C37"/>
    <w:rsid w:val="008F471E"/>
    <w:rsid w:val="008F4921"/>
    <w:rsid w:val="008F51D7"/>
    <w:rsid w:val="009019FA"/>
    <w:rsid w:val="00904478"/>
    <w:rsid w:val="0091233F"/>
    <w:rsid w:val="00913DE7"/>
    <w:rsid w:val="0091689E"/>
    <w:rsid w:val="0091762A"/>
    <w:rsid w:val="00922A54"/>
    <w:rsid w:val="00924193"/>
    <w:rsid w:val="00924E08"/>
    <w:rsid w:val="00926672"/>
    <w:rsid w:val="00931870"/>
    <w:rsid w:val="009361C5"/>
    <w:rsid w:val="009432D8"/>
    <w:rsid w:val="009477B2"/>
    <w:rsid w:val="009501C2"/>
    <w:rsid w:val="009547BE"/>
    <w:rsid w:val="009548DF"/>
    <w:rsid w:val="00954B31"/>
    <w:rsid w:val="009575F0"/>
    <w:rsid w:val="009615AC"/>
    <w:rsid w:val="009629EC"/>
    <w:rsid w:val="009777A1"/>
    <w:rsid w:val="00981B37"/>
    <w:rsid w:val="00981C9D"/>
    <w:rsid w:val="009832C4"/>
    <w:rsid w:val="00983C5B"/>
    <w:rsid w:val="00984D03"/>
    <w:rsid w:val="0099377F"/>
    <w:rsid w:val="00993FFC"/>
    <w:rsid w:val="009A189C"/>
    <w:rsid w:val="009A20D1"/>
    <w:rsid w:val="009A72D8"/>
    <w:rsid w:val="009B1F3B"/>
    <w:rsid w:val="009B3D7E"/>
    <w:rsid w:val="009B7381"/>
    <w:rsid w:val="009C56ED"/>
    <w:rsid w:val="009D3A1D"/>
    <w:rsid w:val="009D42AE"/>
    <w:rsid w:val="009D42B8"/>
    <w:rsid w:val="009E044F"/>
    <w:rsid w:val="009E0FF8"/>
    <w:rsid w:val="009F16AC"/>
    <w:rsid w:val="009F3601"/>
    <w:rsid w:val="009F5232"/>
    <w:rsid w:val="009F5BB7"/>
    <w:rsid w:val="00A055C0"/>
    <w:rsid w:val="00A15E83"/>
    <w:rsid w:val="00A22679"/>
    <w:rsid w:val="00A235B2"/>
    <w:rsid w:val="00A24AE6"/>
    <w:rsid w:val="00A24B68"/>
    <w:rsid w:val="00A27FAC"/>
    <w:rsid w:val="00A35F51"/>
    <w:rsid w:val="00A379A5"/>
    <w:rsid w:val="00A477DF"/>
    <w:rsid w:val="00A51FDA"/>
    <w:rsid w:val="00A61655"/>
    <w:rsid w:val="00A62D0B"/>
    <w:rsid w:val="00A64C03"/>
    <w:rsid w:val="00A668FC"/>
    <w:rsid w:val="00A756D2"/>
    <w:rsid w:val="00A84784"/>
    <w:rsid w:val="00A86FEE"/>
    <w:rsid w:val="00A91836"/>
    <w:rsid w:val="00A935D3"/>
    <w:rsid w:val="00A967D8"/>
    <w:rsid w:val="00AA0ABC"/>
    <w:rsid w:val="00AA45F8"/>
    <w:rsid w:val="00AB241C"/>
    <w:rsid w:val="00AB281E"/>
    <w:rsid w:val="00AB3A4D"/>
    <w:rsid w:val="00AB4AC8"/>
    <w:rsid w:val="00AB64B6"/>
    <w:rsid w:val="00AB77A8"/>
    <w:rsid w:val="00AC193D"/>
    <w:rsid w:val="00AC1AF7"/>
    <w:rsid w:val="00AC222A"/>
    <w:rsid w:val="00AC2F3E"/>
    <w:rsid w:val="00AC3E03"/>
    <w:rsid w:val="00AC5398"/>
    <w:rsid w:val="00AC567E"/>
    <w:rsid w:val="00AD02A5"/>
    <w:rsid w:val="00AE14D4"/>
    <w:rsid w:val="00AE320C"/>
    <w:rsid w:val="00AE38D0"/>
    <w:rsid w:val="00AE5BB9"/>
    <w:rsid w:val="00AE71DF"/>
    <w:rsid w:val="00AF2A50"/>
    <w:rsid w:val="00AF63A9"/>
    <w:rsid w:val="00AF6DF3"/>
    <w:rsid w:val="00B00104"/>
    <w:rsid w:val="00B03CB2"/>
    <w:rsid w:val="00B06726"/>
    <w:rsid w:val="00B07383"/>
    <w:rsid w:val="00B112F8"/>
    <w:rsid w:val="00B11A0F"/>
    <w:rsid w:val="00B13061"/>
    <w:rsid w:val="00B13621"/>
    <w:rsid w:val="00B14468"/>
    <w:rsid w:val="00B16800"/>
    <w:rsid w:val="00B17BE4"/>
    <w:rsid w:val="00B216F9"/>
    <w:rsid w:val="00B21DBD"/>
    <w:rsid w:val="00B232AD"/>
    <w:rsid w:val="00B27722"/>
    <w:rsid w:val="00B30736"/>
    <w:rsid w:val="00B360B0"/>
    <w:rsid w:val="00B36E4C"/>
    <w:rsid w:val="00B4186B"/>
    <w:rsid w:val="00B433E3"/>
    <w:rsid w:val="00B4580C"/>
    <w:rsid w:val="00B5168F"/>
    <w:rsid w:val="00B60419"/>
    <w:rsid w:val="00B6183D"/>
    <w:rsid w:val="00B62F73"/>
    <w:rsid w:val="00B63F9F"/>
    <w:rsid w:val="00B64E8B"/>
    <w:rsid w:val="00B65414"/>
    <w:rsid w:val="00B76499"/>
    <w:rsid w:val="00B8069F"/>
    <w:rsid w:val="00B825F7"/>
    <w:rsid w:val="00B84643"/>
    <w:rsid w:val="00B86437"/>
    <w:rsid w:val="00B87A3D"/>
    <w:rsid w:val="00B87F15"/>
    <w:rsid w:val="00B90A40"/>
    <w:rsid w:val="00B9147F"/>
    <w:rsid w:val="00B95145"/>
    <w:rsid w:val="00BB120C"/>
    <w:rsid w:val="00BB27CE"/>
    <w:rsid w:val="00BB4157"/>
    <w:rsid w:val="00BC47D5"/>
    <w:rsid w:val="00BC60B5"/>
    <w:rsid w:val="00BC7B74"/>
    <w:rsid w:val="00BD2879"/>
    <w:rsid w:val="00BD2E58"/>
    <w:rsid w:val="00BD4D61"/>
    <w:rsid w:val="00BD7E5B"/>
    <w:rsid w:val="00BE11ED"/>
    <w:rsid w:val="00BE1F26"/>
    <w:rsid w:val="00BE4D68"/>
    <w:rsid w:val="00BF0911"/>
    <w:rsid w:val="00BF482A"/>
    <w:rsid w:val="00BF7A69"/>
    <w:rsid w:val="00BF7CC3"/>
    <w:rsid w:val="00C00396"/>
    <w:rsid w:val="00C06407"/>
    <w:rsid w:val="00C1180B"/>
    <w:rsid w:val="00C14D93"/>
    <w:rsid w:val="00C15201"/>
    <w:rsid w:val="00C1753D"/>
    <w:rsid w:val="00C24A7E"/>
    <w:rsid w:val="00C26682"/>
    <w:rsid w:val="00C26BED"/>
    <w:rsid w:val="00C30DC3"/>
    <w:rsid w:val="00C320E6"/>
    <w:rsid w:val="00C36C28"/>
    <w:rsid w:val="00C37DF8"/>
    <w:rsid w:val="00C42014"/>
    <w:rsid w:val="00C43A92"/>
    <w:rsid w:val="00C50EDD"/>
    <w:rsid w:val="00C52837"/>
    <w:rsid w:val="00C52931"/>
    <w:rsid w:val="00C52A67"/>
    <w:rsid w:val="00C537D0"/>
    <w:rsid w:val="00C537EC"/>
    <w:rsid w:val="00C621E7"/>
    <w:rsid w:val="00C6510D"/>
    <w:rsid w:val="00C746D6"/>
    <w:rsid w:val="00C76C4B"/>
    <w:rsid w:val="00C808F5"/>
    <w:rsid w:val="00C81BD0"/>
    <w:rsid w:val="00C85F75"/>
    <w:rsid w:val="00C86182"/>
    <w:rsid w:val="00C92C4E"/>
    <w:rsid w:val="00C956A2"/>
    <w:rsid w:val="00CA27C7"/>
    <w:rsid w:val="00CA6441"/>
    <w:rsid w:val="00CA6C05"/>
    <w:rsid w:val="00CB56C1"/>
    <w:rsid w:val="00CC5ED6"/>
    <w:rsid w:val="00CC62D2"/>
    <w:rsid w:val="00CD0C89"/>
    <w:rsid w:val="00CD27BF"/>
    <w:rsid w:val="00CD3442"/>
    <w:rsid w:val="00CF5932"/>
    <w:rsid w:val="00D00813"/>
    <w:rsid w:val="00D07D6E"/>
    <w:rsid w:val="00D10EBE"/>
    <w:rsid w:val="00D132D2"/>
    <w:rsid w:val="00D15708"/>
    <w:rsid w:val="00D15A93"/>
    <w:rsid w:val="00D203B7"/>
    <w:rsid w:val="00D20FBC"/>
    <w:rsid w:val="00D2199C"/>
    <w:rsid w:val="00D328B8"/>
    <w:rsid w:val="00D346FD"/>
    <w:rsid w:val="00D37E74"/>
    <w:rsid w:val="00D46EC7"/>
    <w:rsid w:val="00D67C42"/>
    <w:rsid w:val="00D71978"/>
    <w:rsid w:val="00D72432"/>
    <w:rsid w:val="00D728DF"/>
    <w:rsid w:val="00D76FF2"/>
    <w:rsid w:val="00D81522"/>
    <w:rsid w:val="00D86FAF"/>
    <w:rsid w:val="00D91C54"/>
    <w:rsid w:val="00D9476B"/>
    <w:rsid w:val="00D97DE8"/>
    <w:rsid w:val="00DA2569"/>
    <w:rsid w:val="00DB1B8D"/>
    <w:rsid w:val="00DB7480"/>
    <w:rsid w:val="00DC2B45"/>
    <w:rsid w:val="00DC2BEE"/>
    <w:rsid w:val="00DC525B"/>
    <w:rsid w:val="00DD01CB"/>
    <w:rsid w:val="00DD2A30"/>
    <w:rsid w:val="00DE1718"/>
    <w:rsid w:val="00DE3968"/>
    <w:rsid w:val="00DE412A"/>
    <w:rsid w:val="00DE6A64"/>
    <w:rsid w:val="00DF36D5"/>
    <w:rsid w:val="00DF4013"/>
    <w:rsid w:val="00DF6DAB"/>
    <w:rsid w:val="00DF7A97"/>
    <w:rsid w:val="00E01F17"/>
    <w:rsid w:val="00E03D90"/>
    <w:rsid w:val="00E049DC"/>
    <w:rsid w:val="00E062D1"/>
    <w:rsid w:val="00E06B15"/>
    <w:rsid w:val="00E22316"/>
    <w:rsid w:val="00E30597"/>
    <w:rsid w:val="00E31B0A"/>
    <w:rsid w:val="00E41DFC"/>
    <w:rsid w:val="00E42500"/>
    <w:rsid w:val="00E43AC1"/>
    <w:rsid w:val="00E5365A"/>
    <w:rsid w:val="00E57366"/>
    <w:rsid w:val="00E65010"/>
    <w:rsid w:val="00E70A2F"/>
    <w:rsid w:val="00E71D0A"/>
    <w:rsid w:val="00E774D1"/>
    <w:rsid w:val="00E81532"/>
    <w:rsid w:val="00E87940"/>
    <w:rsid w:val="00E90C26"/>
    <w:rsid w:val="00E936EC"/>
    <w:rsid w:val="00E93C52"/>
    <w:rsid w:val="00EA6275"/>
    <w:rsid w:val="00EA7A82"/>
    <w:rsid w:val="00EB35B0"/>
    <w:rsid w:val="00EB6221"/>
    <w:rsid w:val="00EB622F"/>
    <w:rsid w:val="00EB7996"/>
    <w:rsid w:val="00EC1D58"/>
    <w:rsid w:val="00EC3F24"/>
    <w:rsid w:val="00EC6C38"/>
    <w:rsid w:val="00ED474B"/>
    <w:rsid w:val="00ED5F6A"/>
    <w:rsid w:val="00EE0A28"/>
    <w:rsid w:val="00EE370A"/>
    <w:rsid w:val="00EE3AB1"/>
    <w:rsid w:val="00EE5767"/>
    <w:rsid w:val="00EE59D2"/>
    <w:rsid w:val="00EF30D4"/>
    <w:rsid w:val="00EF584F"/>
    <w:rsid w:val="00EF7F0A"/>
    <w:rsid w:val="00F05172"/>
    <w:rsid w:val="00F13777"/>
    <w:rsid w:val="00F216D1"/>
    <w:rsid w:val="00F27E1F"/>
    <w:rsid w:val="00F3083F"/>
    <w:rsid w:val="00F31C61"/>
    <w:rsid w:val="00F328A9"/>
    <w:rsid w:val="00F33D28"/>
    <w:rsid w:val="00F352B6"/>
    <w:rsid w:val="00F40A81"/>
    <w:rsid w:val="00F40AB7"/>
    <w:rsid w:val="00F45E50"/>
    <w:rsid w:val="00F52AFF"/>
    <w:rsid w:val="00F55FB9"/>
    <w:rsid w:val="00F576E7"/>
    <w:rsid w:val="00F62363"/>
    <w:rsid w:val="00F6384E"/>
    <w:rsid w:val="00F6523E"/>
    <w:rsid w:val="00F738AA"/>
    <w:rsid w:val="00F73A3C"/>
    <w:rsid w:val="00F758B3"/>
    <w:rsid w:val="00F76D02"/>
    <w:rsid w:val="00F81161"/>
    <w:rsid w:val="00F81A7D"/>
    <w:rsid w:val="00F83679"/>
    <w:rsid w:val="00F875A1"/>
    <w:rsid w:val="00F92B7D"/>
    <w:rsid w:val="00F94020"/>
    <w:rsid w:val="00F943AE"/>
    <w:rsid w:val="00FB0A66"/>
    <w:rsid w:val="00FB334F"/>
    <w:rsid w:val="00FB3C27"/>
    <w:rsid w:val="00FB720B"/>
    <w:rsid w:val="00FC5E0F"/>
    <w:rsid w:val="00FD18CF"/>
    <w:rsid w:val="00FD3571"/>
    <w:rsid w:val="00FD6225"/>
    <w:rsid w:val="00FD779A"/>
    <w:rsid w:val="00FE04A4"/>
    <w:rsid w:val="00FE20B9"/>
    <w:rsid w:val="00FE4A65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7263"/>
  <w15:docId w15:val="{8D28E140-1159-4EED-B8AF-B82E1922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1"/>
    <w:qFormat/>
    <w:rsid w:val="00562BCB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F19D2"/>
    <w:rPr>
      <w:b/>
      <w:bCs/>
    </w:rPr>
  </w:style>
  <w:style w:type="paragraph" w:styleId="a5">
    <w:name w:val="List Paragraph"/>
    <w:basedOn w:val="a"/>
    <w:uiPriority w:val="1"/>
    <w:qFormat/>
    <w:rsid w:val="00295A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1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1474"/>
    <w:rPr>
      <w:rFonts w:ascii="Segoe UI" w:hAnsi="Segoe UI" w:cs="Segoe UI"/>
      <w:sz w:val="18"/>
      <w:szCs w:val="18"/>
      <w:lang w:val="uk-UA"/>
    </w:rPr>
  </w:style>
  <w:style w:type="character" w:styleId="a8">
    <w:name w:val="Hyperlink"/>
    <w:basedOn w:val="a0"/>
    <w:uiPriority w:val="99"/>
    <w:unhideWhenUsed/>
    <w:rsid w:val="00742D5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C567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76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76C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514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51483"/>
    <w:rPr>
      <w:lang w:val="uk-UA"/>
    </w:rPr>
  </w:style>
  <w:style w:type="paragraph" w:styleId="ac">
    <w:name w:val="footer"/>
    <w:basedOn w:val="a"/>
    <w:link w:val="ad"/>
    <w:uiPriority w:val="99"/>
    <w:unhideWhenUsed/>
    <w:rsid w:val="002514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1483"/>
    <w:rPr>
      <w:lang w:val="uk-UA"/>
    </w:rPr>
  </w:style>
  <w:style w:type="paragraph" w:styleId="3">
    <w:name w:val="Body Text Indent 3"/>
    <w:basedOn w:val="a"/>
    <w:link w:val="30"/>
    <w:semiHidden/>
    <w:unhideWhenUsed/>
    <w:rsid w:val="00AE38D0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E38D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e">
    <w:name w:val="annotation reference"/>
    <w:basedOn w:val="a0"/>
    <w:uiPriority w:val="99"/>
    <w:semiHidden/>
    <w:unhideWhenUsed/>
    <w:rsid w:val="003772B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772B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772B8"/>
    <w:rPr>
      <w:sz w:val="20"/>
      <w:szCs w:val="20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772B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772B8"/>
    <w:rPr>
      <w:b/>
      <w:bCs/>
      <w:sz w:val="20"/>
      <w:szCs w:val="20"/>
      <w:lang w:val="uk-UA"/>
    </w:rPr>
  </w:style>
  <w:style w:type="paragraph" w:styleId="af3">
    <w:name w:val="Body Text"/>
    <w:basedOn w:val="a"/>
    <w:link w:val="af4"/>
    <w:uiPriority w:val="99"/>
    <w:unhideWhenUsed/>
    <w:rsid w:val="00562BC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562BCB"/>
    <w:rPr>
      <w:lang w:val="uk-UA"/>
    </w:rPr>
  </w:style>
  <w:style w:type="character" w:customStyle="1" w:styleId="10">
    <w:name w:val="Заголовок 1 Знак"/>
    <w:basedOn w:val="a0"/>
    <w:link w:val="1"/>
    <w:uiPriority w:val="1"/>
    <w:rsid w:val="00562BC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62BCB"/>
    <w:pPr>
      <w:widowControl w:val="0"/>
      <w:autoSpaceDE w:val="0"/>
      <w:autoSpaceDN w:val="0"/>
      <w:spacing w:before="141" w:after="0" w:line="240" w:lineRule="auto"/>
      <w:ind w:left="4"/>
    </w:pPr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62B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Основной текст с отступом Знак Знак"/>
    <w:aliases w:val="Основной текст с отступом Знак Знак Знак Знак Знак Знак Знак Знак Знак,Основной текст с отступом Знак Знак Знак Знак Знак Знак,Знак Знак"/>
    <w:basedOn w:val="a"/>
    <w:rsid w:val="00B16800"/>
    <w:pPr>
      <w:spacing w:after="0" w:line="240" w:lineRule="auto"/>
    </w:pPr>
    <w:rPr>
      <w:rFonts w:ascii="Peterburg" w:eastAsia="Times New Roman" w:hAnsi="Peterburg" w:cs="Peterburg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@vmr.gov.ua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D2A568-83DE-48DA-A7CD-71F06F265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71C40-F035-46E6-B378-4C8B0B756E78}"/>
</file>

<file path=customXml/itemProps3.xml><?xml version="1.0" encoding="utf-8"?>
<ds:datastoreItem xmlns:ds="http://schemas.openxmlformats.org/officeDocument/2006/customXml" ds:itemID="{13B236F9-1D75-40F3-90AA-1BACF357E67B}"/>
</file>

<file path=customXml/itemProps4.xml><?xml version="1.0" encoding="utf-8"?>
<ds:datastoreItem xmlns:ds="http://schemas.openxmlformats.org/officeDocument/2006/customXml" ds:itemID="{89E35A44-75A7-4141-AED0-F98F9A1D4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3168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 Тетяна Борисівна</cp:lastModifiedBy>
  <cp:revision>4</cp:revision>
  <cp:lastPrinted>2017-11-30T11:34:00Z</cp:lastPrinted>
  <dcterms:created xsi:type="dcterms:W3CDTF">2021-03-15T10:33:00Z</dcterms:created>
  <dcterms:modified xsi:type="dcterms:W3CDTF">2021-03-16T14:11:00Z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